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_rels/document.xml.rels" ContentType="application/vnd.openxmlformats-package.relationships+xml"/>
  <Override PartName="/word/header2.xml" ContentType="application/vnd.openxmlformats-officedocument.wordprocessingml.header+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document.xml" ContentType="application/vnd.openxmlformats-officedocument.wordprocessingml.document.main+xml"/>
  <Override PartName="/word/footer3.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footer2.xml" ContentType="application/vnd.openxmlformats-officedocument.wordprocessingml.footer+xml"/>
  <Override PartName="/word/header4.xml" ContentType="application/vnd.openxmlformats-officedocument.wordprocessingml.header+xml"/>
  <Override PartName="/word/styles.xml" ContentType="application/vnd.openxmlformats-officedocument.wordprocessingml.styles+xml"/>
  <Override PartName="/customXml/_rels/item1.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itemProps3.xml" ContentType="application/vnd.openxmlformats-officedocument.customXmlProperties+xml"/>
  <Override PartName="/customXml/item3.xml" ContentType="application/xml"/>
  <Override PartName="/customXml/item4.xml" ContentType="application/xml"/>
  <Override PartName="/customXml/itemProps1.xml" ContentType="application/vnd.openxmlformats-officedocument.customXmlProperties+xml"/>
  <Override PartName="/customXml/itemProps4.xml" ContentType="application/vnd.openxmlformats-officedocument.customXmlProperties+xml"/>
  <Override PartName="/customXml/item1.xml" ContentType="application/xml"/>
  <Override PartName="/customXml/item2.xml" ContentType="application/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6926" w:leader="none"/>
        </w:tabs>
        <w:jc w:val="center"/>
        <w:rPr>
          <w:b/>
          <w:sz w:val="24"/>
          <w:szCs w:val="24"/>
        </w:rPr>
      </w:pPr>
      <w:r>
        <w:rPr>
          <w:b/>
          <w:bCs/>
          <w:sz w:val="24"/>
          <w:szCs w:val="24"/>
        </w:rPr>
        <w:t>Договор поставки</w:t>
      </w:r>
    </w:p>
    <w:p>
      <w:pPr>
        <w:pStyle w:val="Normal"/>
        <w:shd w:val="clear" w:color="auto" w:fill="FFFFFF"/>
        <w:rPr>
          <w:b/>
          <w:bCs/>
          <w:sz w:val="24"/>
          <w:szCs w:val="24"/>
        </w:rPr>
      </w:pPr>
      <w:r>
        <w:rPr>
          <w:b/>
          <w:bCs/>
          <w:sz w:val="24"/>
          <w:szCs w:val="24"/>
        </w:rPr>
      </w:r>
    </w:p>
    <w:p>
      <w:pPr>
        <w:pStyle w:val="Normal"/>
        <w:shd w:val="clear" w:color="auto" w:fill="FFFFFF"/>
        <w:tabs>
          <w:tab w:val="clear" w:pos="709"/>
          <w:tab w:val="right" w:pos="9639" w:leader="none"/>
        </w:tabs>
        <w:jc w:val="right"/>
        <w:rPr>
          <w:bCs/>
          <w:sz w:val="24"/>
          <w:szCs w:val="24"/>
        </w:rPr>
      </w:pPr>
      <w:r>
        <w:rPr>
          <w:bCs/>
          <w:sz w:val="24"/>
          <w:szCs w:val="24"/>
        </w:rPr>
        <w:t>г. _________</w:t>
        <w:tab/>
        <w:t xml:space="preserve">   «___» _________ 20__ г.</w:t>
      </w:r>
    </w:p>
    <w:p>
      <w:pPr>
        <w:pStyle w:val="Normal"/>
        <w:shd w:val="clear" w:color="auto" w:fill="FFFFFF"/>
        <w:tabs>
          <w:tab w:val="clear" w:pos="709"/>
          <w:tab w:val="right" w:pos="9639" w:leader="none"/>
        </w:tabs>
        <w:jc w:val="right"/>
        <w:rPr>
          <w:bCs/>
          <w:sz w:val="24"/>
          <w:szCs w:val="24"/>
        </w:rPr>
      </w:pPr>
      <w:r>
        <w:rPr>
          <w:bCs/>
          <w:sz w:val="24"/>
          <w:szCs w:val="24"/>
        </w:rPr>
      </w:r>
    </w:p>
    <w:p>
      <w:pPr>
        <w:pStyle w:val="Normal"/>
        <w:ind w:firstLine="709"/>
        <w:jc w:val="both"/>
        <w:rPr>
          <w:sz w:val="24"/>
          <w:szCs w:val="24"/>
        </w:rPr>
      </w:pPr>
      <w:r>
        <w:rPr>
          <w:b/>
          <w:sz w:val="24"/>
          <w:szCs w:val="24"/>
        </w:rPr>
        <w:t xml:space="preserve">Публичное акционерное общество «Федеральная гидрогенерирующая </w:t>
        <w:br/>
        <w:t xml:space="preserve">компания – РусГидро» </w:t>
      </w:r>
      <w:r>
        <w:rPr>
          <w:sz w:val="24"/>
          <w:szCs w:val="24"/>
        </w:rPr>
        <w:t>(ПАО «РусГидро»)</w:t>
      </w:r>
      <w:r>
        <w:rPr>
          <w:spacing w:val="2"/>
          <w:sz w:val="24"/>
          <w:szCs w:val="24"/>
        </w:rPr>
        <w:t xml:space="preserve"> (далее – </w:t>
      </w:r>
      <w:r>
        <w:rPr>
          <w:sz w:val="24"/>
          <w:szCs w:val="24"/>
        </w:rPr>
        <w:t>«Покупатель»), в лице _____________________</w:t>
      </w:r>
      <w:r>
        <w:rPr>
          <w:spacing w:val="4"/>
          <w:sz w:val="24"/>
          <w:szCs w:val="24"/>
        </w:rPr>
        <w:t xml:space="preserve">, действующего на основании ________, с одной стороны, </w:t>
        <w:br/>
        <w:t>и</w:t>
      </w:r>
      <w:r>
        <w:rPr>
          <w:spacing w:val="10"/>
          <w:sz w:val="24"/>
          <w:szCs w:val="24"/>
        </w:rPr>
        <w:t xml:space="preserve"> </w:t>
      </w:r>
      <w:r>
        <w:rPr>
          <w:b/>
          <w:spacing w:val="10"/>
          <w:sz w:val="24"/>
          <w:szCs w:val="24"/>
        </w:rPr>
        <w:t>____________________</w:t>
      </w:r>
      <w:r>
        <w:rPr>
          <w:bCs/>
          <w:sz w:val="24"/>
          <w:szCs w:val="24"/>
        </w:rPr>
        <w:t xml:space="preserve"> </w:t>
      </w:r>
      <w:r>
        <w:rPr>
          <w:sz w:val="24"/>
          <w:szCs w:val="24"/>
        </w:rPr>
        <w:t xml:space="preserve">(далее – «Поставщик»), в лице _________________________, действующего на основании ___________________, с другой стороны, </w:t>
      </w:r>
    </w:p>
    <w:p>
      <w:pPr>
        <w:pStyle w:val="Normal"/>
        <w:ind w:firstLine="709"/>
        <w:jc w:val="both"/>
        <w:rPr>
          <w:spacing w:val="10"/>
          <w:sz w:val="24"/>
          <w:szCs w:val="24"/>
        </w:rPr>
      </w:pPr>
      <w:r>
        <w:rPr>
          <w:sz w:val="24"/>
          <w:szCs w:val="24"/>
        </w:rPr>
        <w:t xml:space="preserve">совместно в дальнейшем именуемые «Стороны», а по отдельности – «Сторона», </w:t>
        <w:br/>
      </w:r>
      <w:r>
        <w:rPr>
          <w:sz w:val="24"/>
          <w:szCs w:val="24"/>
          <w:shd w:fill="auto" w:val="clear"/>
          <w:lang w:eastAsia="en-US"/>
        </w:rPr>
        <w:t>по результатам проведенного Покупателем состязательного отбора по лоту № 20-ЭКСП-БПД-2026-КамГЭС и на основании протокола __________ от «___» _________ г. №_______,</w:t>
      </w:r>
      <w:r>
        <w:rPr>
          <w:sz w:val="24"/>
          <w:szCs w:val="24"/>
          <w:highlight w:val="lightGray"/>
          <w:lang w:eastAsia="en-US"/>
        </w:rPr>
        <w:t xml:space="preserve"> </w:t>
      </w:r>
      <w:r>
        <w:rPr>
          <w:sz w:val="24"/>
          <w:szCs w:val="24"/>
        </w:rPr>
        <w:t>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9"/>
          <w:tab w:val="left" w:pos="0" w:leader="none"/>
        </w:tabs>
        <w:overflowPunct w:val="false"/>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и № ТОРГ-3 «Акт 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9"/>
          <w:tab w:val="left" w:pos="567" w:leader="none"/>
          <w:tab w:val="left" w:pos="1134" w:leader="none"/>
        </w:tabs>
        <w:overflowPunct w:val="false"/>
        <w:ind w:left="0" w:firstLine="708"/>
        <w:jc w:val="both"/>
        <w:textAlignment w:val="baseline"/>
        <w:rPr>
          <w:sz w:val="24"/>
          <w:szCs w:val="24"/>
          <w:lang w:eastAsia="en-US"/>
        </w:rPr>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9"/>
          <w:tab w:val="left" w:pos="0" w:leader="none"/>
        </w:tabs>
        <w:overflowPunct w:val="false"/>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9"/>
          <w:tab w:val="left" w:pos="0" w:leader="none"/>
        </w:tabs>
        <w:overflowPunct w:val="false"/>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9"/>
          <w:tab w:val="left" w:pos="0" w:leader="none"/>
        </w:tabs>
        <w:overflowPunct w:val="false"/>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 xml:space="preserve">от 25.12.1998 № 132, подписываемый Сторонами после завершения приемки Товара </w:t>
        <w:br/>
        <w:t>по количеству, качеству и комплектности.</w:t>
      </w:r>
    </w:p>
    <w:p>
      <w:pPr>
        <w:pStyle w:val="ListParagraph"/>
        <w:shd w:val="clear" w:color="auto" w:fill="FFFFFF"/>
        <w:tabs>
          <w:tab w:val="clear" w:pos="709"/>
          <w:tab w:val="left" w:pos="0" w:leader="none"/>
        </w:tabs>
        <w:overflowPunct w:val="false"/>
        <w:ind w:left="0" w:firstLine="709"/>
        <w:jc w:val="both"/>
        <w:textAlignment w:val="baseline"/>
        <w:rPr>
          <w:b/>
          <w:sz w:val="24"/>
          <w:szCs w:val="24"/>
          <w:lang w:eastAsia="en-US"/>
        </w:rPr>
      </w:pPr>
      <w:r>
        <w:rPr>
          <w:b/>
          <w:sz w:val="24"/>
          <w:szCs w:val="24"/>
          <w:lang w:eastAsia="en-US"/>
        </w:rPr>
        <w:t xml:space="preserve">«Универсальный передаточный документ (УПД)» </w:t>
      </w:r>
      <w:r>
        <w:rPr>
          <w:b w:val="false"/>
          <w:bCs w:val="false"/>
          <w:sz w:val="24"/>
          <w:szCs w:val="24"/>
          <w:lang w:eastAsia="en-US"/>
        </w:rPr>
        <w:t>- 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товара, работ, услуг).</w:t>
      </w:r>
    </w:p>
    <w:p>
      <w:pPr>
        <w:pStyle w:val="ListParagraph"/>
        <w:shd w:val="clear" w:color="auto" w:fill="FFFFFF"/>
        <w:tabs>
          <w:tab w:val="clear" w:pos="709"/>
          <w:tab w:val="left" w:pos="0" w:leader="none"/>
        </w:tabs>
        <w:overflowPunct w:val="false"/>
        <w:ind w:left="0" w:firstLine="709"/>
        <w:jc w:val="both"/>
        <w:textAlignment w:val="baseline"/>
        <w:rPr>
          <w:b/>
          <w:sz w:val="24"/>
          <w:szCs w:val="24"/>
          <w:lang w:eastAsia="en-US"/>
        </w:rPr>
      </w:pPr>
      <w:r>
        <w:rPr>
          <w:b/>
          <w:bCs/>
          <w:sz w:val="24"/>
          <w:szCs w:val="24"/>
        </w:rPr>
        <w:t>«Национальный режим»</w:t>
      </w:r>
      <w:r>
        <w:rPr>
          <w:bCs/>
          <w:sz w:val="24"/>
          <w:szCs w:val="24"/>
        </w:rPr>
        <w:t xml:space="preserve"> - установленные законодательством Российской Федерации условия, обеспечивающие предоставление (или непредоставление) для происходящей из иностранного государства продукции прав участия в закупке, равных с правами для продукции российского происхождения.</w:t>
      </w:r>
      <w:r>
        <w:rPr>
          <w:b/>
          <w:sz w:val="24"/>
          <w:szCs w:val="24"/>
          <w:lang w:eastAsia="en-US"/>
        </w:rPr>
        <w:t xml:space="preserve"> </w:t>
      </w:r>
    </w:p>
    <w:p>
      <w:pPr>
        <w:pStyle w:val="ListParagraph"/>
        <w:shd w:val="clear" w:color="auto" w:fill="FFFFFF"/>
        <w:tabs>
          <w:tab w:val="clear" w:pos="709"/>
          <w:tab w:val="left" w:pos="0" w:leader="none"/>
        </w:tabs>
        <w:overflowPunct w:val="false"/>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(далее – ГК РФ) в случаях, установленных Договором. </w:t>
      </w:r>
    </w:p>
    <w:p>
      <w:pPr>
        <w:pStyle w:val="Heading3"/>
        <w:keepNext w:val="false"/>
        <w:tabs>
          <w:tab w:val="clear" w:pos="709"/>
          <w:tab w:val="left" w:pos="0" w:leader="none"/>
        </w:tabs>
        <w:overflowPunct w:val="false"/>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8"/>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tabs>
          <w:tab w:val="clear" w:pos="709"/>
          <w:tab w:val="left" w:pos="0" w:leader="none"/>
        </w:tabs>
        <w:overflowPunct w:val="false"/>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w:t>
        <w:br/>
        <w:t xml:space="preserve">и причитающееся ему вознаграждение, а также инфляционные риски на весь период действия Договора. </w:t>
      </w:r>
    </w:p>
    <w:p>
      <w:pPr>
        <w:pStyle w:val="Normal"/>
        <w:shd w:val="clear" w:color="auto" w:fill="FFFFFF"/>
        <w:ind w:firstLine="709"/>
        <w:jc w:val="center"/>
        <w:rPr>
          <w:bCs/>
          <w:sz w:val="24"/>
          <w:szCs w:val="24"/>
        </w:rPr>
      </w:pPr>
      <w:r>
        <w:rPr>
          <w:bCs/>
          <w:sz w:val="24"/>
          <w:szCs w:val="24"/>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Поставщик обязуется в порядке и сроки, установленные Договором, передать </w:t>
        <w:br/>
        <w:t>в собственность Покупателю</w:t>
      </w:r>
      <w:r>
        <w:rPr>
          <w:rFonts w:eastAsia="Calibri"/>
          <w:bCs/>
          <w:sz w:val="24"/>
          <w:szCs w:val="24"/>
          <w:lang w:eastAsia="en-US"/>
        </w:rPr>
        <w:t xml:space="preserve"> запасные части и приборы для эксплуатации оборудования релейной защиты, автоматики и метрологии </w:t>
      </w:r>
      <w:r>
        <w:rPr>
          <w:bCs/>
          <w:sz w:val="24"/>
          <w:szCs w:val="24"/>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Поставка Товара по Договору осуществляется для нужд </w:t>
      </w:r>
      <w:r>
        <w:rPr>
          <w:bCs/>
          <w:sz w:val="24"/>
          <w:szCs w:val="24"/>
          <w:shd w:fill="auto" w:val="clear"/>
        </w:rPr>
        <w:t>филиала ПАО «РусГидро» - «Камская ГЭС».</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Место поставки Товара: г.Пермь, ул. Соликамская, 329 </w:t>
      </w:r>
      <w:r>
        <w:rPr>
          <w:sz w:val="24"/>
          <w:szCs w:val="24"/>
        </w:rPr>
        <w:t>(далее – «Место поставки»).</w:t>
      </w:r>
    </w:p>
    <w:p>
      <w:pPr>
        <w:pStyle w:val="Normal"/>
        <w:numPr>
          <w:ilvl w:val="1"/>
          <w:numId w:val="2"/>
        </w:numPr>
        <w:shd w:val="clear" w:color="auto" w:fill="FFFFFF"/>
        <w:tabs>
          <w:tab w:val="clear" w:pos="709"/>
          <w:tab w:val="left" w:pos="0" w:leader="none"/>
          <w:tab w:val="left" w:pos="540" w:leader="none"/>
          <w:tab w:val="left" w:pos="1134" w:leader="none"/>
        </w:tabs>
        <w:ind w:left="0" w:firstLine="709"/>
        <w:jc w:val="both"/>
        <w:rPr>
          <w:bCs/>
          <w:sz w:val="24"/>
          <w:szCs w:val="24"/>
        </w:rPr>
      </w:pPr>
      <w:r>
        <w:rPr>
          <w:bCs/>
          <w:sz w:val="24"/>
          <w:szCs w:val="24"/>
        </w:rPr>
        <w:t xml:space="preserve">Общий срок поставки Товара: </w:t>
      </w:r>
    </w:p>
    <w:p>
      <w:pPr>
        <w:pStyle w:val="Normal"/>
        <w:numPr>
          <w:ilvl w:val="0"/>
          <w:numId w:val="0"/>
        </w:numPr>
        <w:shd w:val="clear" w:color="auto" w:fill="FFFFFF"/>
        <w:tabs>
          <w:tab w:val="clear" w:pos="709"/>
          <w:tab w:val="left" w:pos="0" w:leader="none"/>
          <w:tab w:val="left" w:pos="540" w:leader="none"/>
          <w:tab w:val="left" w:pos="1134" w:leader="none"/>
        </w:tabs>
        <w:ind w:left="0" w:hanging="0"/>
        <w:jc w:val="both"/>
        <w:rPr>
          <w:bCs/>
          <w:sz w:val="24"/>
          <w:szCs w:val="24"/>
        </w:rPr>
      </w:pPr>
      <w:r>
        <w:rPr>
          <w:bCs/>
          <w:sz w:val="24"/>
          <w:szCs w:val="24"/>
        </w:rPr>
        <w:t>1.4.1. Начало — с даты заключения Договора;</w:t>
      </w:r>
    </w:p>
    <w:p>
      <w:pPr>
        <w:pStyle w:val="Normal"/>
        <w:numPr>
          <w:ilvl w:val="0"/>
          <w:numId w:val="0"/>
        </w:numPr>
        <w:shd w:val="clear" w:color="auto" w:fill="FFFFFF"/>
        <w:tabs>
          <w:tab w:val="clear" w:pos="709"/>
          <w:tab w:val="left" w:pos="0" w:leader="none"/>
          <w:tab w:val="left" w:pos="540" w:leader="none"/>
          <w:tab w:val="left" w:pos="1134" w:leader="none"/>
        </w:tabs>
        <w:ind w:left="0" w:hanging="0"/>
        <w:jc w:val="both"/>
        <w:rPr>
          <w:bCs/>
          <w:sz w:val="24"/>
          <w:szCs w:val="24"/>
        </w:rPr>
      </w:pPr>
      <w:r>
        <w:rPr>
          <w:bCs/>
          <w:sz w:val="24"/>
          <w:szCs w:val="24"/>
        </w:rPr>
        <w:t>1.4.2. Окончание — 30.11.2026г.</w:t>
      </w:r>
    </w:p>
    <w:p>
      <w:pPr>
        <w:pStyle w:val="Normal"/>
        <w:numPr>
          <w:ilvl w:val="1"/>
          <w:numId w:val="2"/>
        </w:numPr>
        <w:shd w:val="clear" w:color="auto" w:fill="FFFFFF"/>
        <w:tabs>
          <w:tab w:val="clear" w:pos="709"/>
          <w:tab w:val="left" w:pos="0" w:leader="none"/>
          <w:tab w:val="left" w:pos="540" w:leader="none"/>
          <w:tab w:val="left" w:pos="1134" w:leader="none"/>
        </w:tabs>
        <w:ind w:left="0" w:firstLine="709"/>
        <w:jc w:val="both"/>
        <w:rPr>
          <w:bCs/>
          <w:sz w:val="24"/>
          <w:szCs w:val="24"/>
        </w:rPr>
      </w:pPr>
      <w:r>
        <w:rPr>
          <w:bCs/>
          <w:sz w:val="24"/>
          <w:szCs w:val="24"/>
        </w:rPr>
        <w:t>Товар поставляется одной партией в рамках общих сроков, указанных в п. 1.4. Договора.</w:t>
      </w:r>
    </w:p>
    <w:p>
      <w:pPr>
        <w:pStyle w:val="Normal"/>
        <w:shd w:val="clear" w:color="auto" w:fill="FFFFFF"/>
        <w:tabs>
          <w:tab w:val="clear" w:pos="709"/>
          <w:tab w:val="left" w:pos="540" w:leader="none"/>
        </w:tabs>
        <w:ind w:left="1134" w:hanging="0"/>
        <w:jc w:val="both"/>
        <w:rPr>
          <w:sz w:val="24"/>
          <w:szCs w:val="24"/>
        </w:rPr>
      </w:pPr>
      <w:r>
        <w:rPr>
          <w:sz w:val="24"/>
          <w:szCs w:val="24"/>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w:t>
      </w:r>
      <w:r>
        <w:rPr>
          <w:bCs/>
          <w:sz w:val="24"/>
          <w:szCs w:val="24"/>
          <w:shd w:fill="auto" w:val="clear"/>
        </w:rPr>
        <w:t xml:space="preserve">твердой и составляет </w:t>
      </w:r>
      <w:r>
        <w:rPr>
          <w:sz w:val="24"/>
          <w:szCs w:val="24"/>
          <w:shd w:fill="auto" w:val="clear"/>
        </w:rPr>
        <w:t>_______</w:t>
      </w:r>
      <w:r>
        <w:rPr>
          <w:bCs/>
          <w:sz w:val="24"/>
          <w:szCs w:val="24"/>
          <w:shd w:fill="auto" w:val="clear"/>
        </w:rPr>
        <w:t xml:space="preserve"> (</w:t>
      </w:r>
      <w:r>
        <w:rPr>
          <w:sz w:val="24"/>
          <w:szCs w:val="24"/>
          <w:shd w:fill="auto" w:val="clear"/>
        </w:rPr>
        <w:t>__________________</w:t>
      </w:r>
      <w:r>
        <w:rPr>
          <w:bCs/>
          <w:sz w:val="24"/>
          <w:szCs w:val="24"/>
          <w:shd w:fill="auto" w:val="clear"/>
        </w:rPr>
        <w:t xml:space="preserve">) рублей </w:t>
      </w:r>
      <w:r>
        <w:rPr>
          <w:sz w:val="24"/>
          <w:szCs w:val="24"/>
          <w:shd w:fill="auto" w:val="clear"/>
        </w:rPr>
        <w:t>___</w:t>
      </w:r>
      <w:r>
        <w:rPr>
          <w:bCs/>
          <w:sz w:val="24"/>
          <w:szCs w:val="24"/>
          <w:shd w:fill="auto" w:val="clear"/>
        </w:rPr>
        <w:t xml:space="preserve"> </w:t>
      </w:r>
      <w:r>
        <w:rPr>
          <w:bCs/>
          <w:sz w:val="24"/>
          <w:szCs w:val="24"/>
        </w:rPr>
        <w:t>копеек без учета НДС, при этом НДС исчисляется дополнительно по ставке, установленной ст. 164 Налогового кодекса Российской Федерации.</w:t>
      </w:r>
    </w:p>
    <w:p>
      <w:pPr>
        <w:pStyle w:val="Norma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w:t>
        <w:br/>
        <w:t xml:space="preserve">и затраты Поставщика на: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Производство и / или приобретение Товара.</w:t>
      </w:r>
    </w:p>
    <w:p>
      <w:pPr>
        <w:pStyle w:val="ListParagraph"/>
        <w:numPr>
          <w:ilvl w:val="0"/>
          <w:numId w:val="0"/>
        </w:numPr>
        <w:shd w:val="clear" w:color="auto" w:fill="FFFFFF"/>
        <w:tabs>
          <w:tab w:val="clear" w:pos="709"/>
          <w:tab w:val="left" w:pos="1418" w:leader="none"/>
        </w:tabs>
        <w:ind w:left="0" w:hanging="0"/>
        <w:jc w:val="both"/>
        <w:rPr>
          <w:bCs/>
          <w:sz w:val="24"/>
          <w:szCs w:val="24"/>
        </w:rPr>
      </w:pPr>
      <w:r>
        <w:rPr>
          <w:bCs/>
          <w:sz w:val="24"/>
          <w:szCs w:val="24"/>
        </w:rPr>
        <w:t xml:space="preserve">           </w:t>
      </w:r>
      <w:r>
        <w:rPr>
          <w:bCs/>
          <w:sz w:val="24"/>
          <w:szCs w:val="24"/>
        </w:rPr>
        <w:t xml:space="preserve">2.2.2. Транспортировку Товара до Места поставки, погрузку, разгрузку, </w:t>
      </w:r>
      <w:r>
        <w:rPr>
          <w:bCs/>
          <w:sz w:val="24"/>
          <w:szCs w:val="24"/>
          <w:shd w:fill="auto" w:val="clear"/>
        </w:rPr>
        <w:t>перемещение по территории Покупателя,</w:t>
      </w:r>
      <w:r>
        <w:rPr>
          <w:bCs/>
          <w:sz w:val="24"/>
          <w:szCs w:val="24"/>
        </w:rPr>
        <w:t xml:space="preserve"> стоимость тары и упаковки, лицензий, необходимых для использования Товара (если применимо). </w:t>
      </w:r>
    </w:p>
    <w:p>
      <w:pPr>
        <w:pStyle w:val="Normal"/>
        <w:numPr>
          <w:ilvl w:val="0"/>
          <w:numId w:val="0"/>
        </w:numPr>
        <w:shd w:val="clear" w:color="auto" w:fill="FFFFFF"/>
        <w:tabs>
          <w:tab w:val="clear" w:pos="709"/>
          <w:tab w:val="left" w:pos="1418" w:leader="none"/>
        </w:tabs>
        <w:ind w:left="0" w:hanging="0"/>
        <w:jc w:val="both"/>
        <w:rPr>
          <w:bCs/>
          <w:sz w:val="24"/>
          <w:szCs w:val="24"/>
        </w:rPr>
      </w:pPr>
      <w:r>
        <w:rPr>
          <w:bCs/>
          <w:sz w:val="24"/>
          <w:szCs w:val="24"/>
        </w:rPr>
        <w:t xml:space="preserve">        </w:t>
      </w:r>
      <w:r>
        <w:rPr>
          <w:bCs/>
          <w:sz w:val="24"/>
          <w:szCs w:val="24"/>
        </w:rPr>
        <w:t>2.2.3. Подлежащие уплате налоги, сборы и пошлины (в том числе по таможенному оформлению Товара, если применимо).</w:t>
      </w:r>
    </w:p>
    <w:p>
      <w:pPr>
        <w:pStyle w:val="Normal"/>
        <w:numPr>
          <w:ilvl w:val="0"/>
          <w:numId w:val="0"/>
        </w:numPr>
        <w:shd w:val="clear" w:color="auto" w:fill="FFFFFF"/>
        <w:tabs>
          <w:tab w:val="clear" w:pos="709"/>
          <w:tab w:val="left" w:pos="1418" w:leader="none"/>
        </w:tabs>
        <w:ind w:left="0" w:hanging="0"/>
        <w:jc w:val="both"/>
        <w:rPr>
          <w:bCs/>
          <w:sz w:val="24"/>
          <w:szCs w:val="24"/>
        </w:rPr>
      </w:pPr>
      <w:r>
        <w:rPr>
          <w:bCs/>
          <w:sz w:val="24"/>
          <w:szCs w:val="24"/>
        </w:rPr>
        <w:t xml:space="preserve">      </w:t>
      </w:r>
      <w:r>
        <w:rPr>
          <w:bCs/>
          <w:sz w:val="24"/>
          <w:szCs w:val="24"/>
        </w:rPr>
        <w:t xml:space="preserve">2.2.4. Заработную плату, накладные и командировочные расходы, перемещение </w:t>
        <w:br/>
        <w:t xml:space="preserve">и размещение персонала Поставщика. </w:t>
      </w:r>
    </w:p>
    <w:p>
      <w:pPr>
        <w:pStyle w:val="Normal"/>
        <w:numPr>
          <w:ilvl w:val="0"/>
          <w:numId w:val="0"/>
        </w:numPr>
        <w:shd w:val="clear" w:color="auto" w:fill="FFFFFF"/>
        <w:tabs>
          <w:tab w:val="clear" w:pos="709"/>
          <w:tab w:val="left" w:pos="1418" w:leader="none"/>
        </w:tabs>
        <w:ind w:left="0" w:hanging="0"/>
        <w:jc w:val="both"/>
        <w:rPr>
          <w:bCs/>
          <w:sz w:val="24"/>
          <w:szCs w:val="24"/>
        </w:rPr>
      </w:pPr>
      <w:r>
        <w:rPr>
          <w:bCs/>
          <w:sz w:val="24"/>
          <w:szCs w:val="24"/>
        </w:rPr>
        <w:t xml:space="preserve">       </w:t>
      </w:r>
      <w:r>
        <w:rPr>
          <w:bCs/>
          <w:sz w:val="24"/>
          <w:szCs w:val="24"/>
        </w:rPr>
        <w:t xml:space="preserve">2.2.5. Все прочие затраты и расходы Поставщика, связанные с поставкой Товара </w:t>
        <w:br/>
        <w:t xml:space="preserve">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9"/>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9"/>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rPr>
        <w:t>Авансовый платеж в размере 30 (тридцати) процентов от стоимости Товара без учета НДС, кроме того НДС по ставке, установленной статьей 164 НК РФ на дату выплаты авансового платежа,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поставки Товара, и с учетом пунктов 2.4.3. Договора.</w:t>
      </w:r>
    </w:p>
    <w:p>
      <w:pPr>
        <w:pStyle w:val="ListParagraph"/>
        <w:numPr>
          <w:ilvl w:val="2"/>
          <w:numId w:val="2"/>
        </w:numPr>
        <w:tabs>
          <w:tab w:val="clear" w:pos="709"/>
        </w:tabs>
        <w:ind w:left="0" w:firstLine="709"/>
        <w:jc w:val="both"/>
        <w:rPr>
          <w:sz w:val="24"/>
        </w:rPr>
      </w:pPr>
      <w:r>
        <w:rPr>
          <w:sz w:val="24"/>
        </w:rPr>
        <w:t xml:space="preserve">Окончательный </w:t>
      </w:r>
      <w:r>
        <w:rPr>
          <w:sz w:val="24"/>
          <w:szCs w:val="24"/>
        </w:rPr>
        <w:t>платеж в размере разницы между стоимостью Товара без учета НДС, кроме того НДС по ставке, установленной статьей 164 НК РФ на дату подписания Сторонами нак</w:t>
      </w:r>
      <w:r>
        <w:rPr>
          <w:sz w:val="24"/>
          <w:szCs w:val="24"/>
          <w:shd w:fill="auto" w:val="clear"/>
        </w:rPr>
        <w:t>ладной ТОРГ-12/УПД, и суммой ранее уплаченного авансового платежа, выплачивается Поставщику в течение 20 (двадцати) календарных дней</w:t>
      </w:r>
      <w:r>
        <w:rPr>
          <w:rStyle w:val="FootnoteReference"/>
          <w:sz w:val="24"/>
          <w:szCs w:val="24"/>
          <w:shd w:fill="auto" w:val="clear"/>
        </w:rPr>
        <w:footnoteReference w:id="2"/>
      </w:r>
      <w:r>
        <w:rPr>
          <w:sz w:val="24"/>
          <w:szCs w:val="24"/>
          <w:shd w:fill="auto" w:val="clear"/>
        </w:rPr>
        <w:t xml:space="preserve"> / 7 (семи) рабочих дней</w:t>
      </w:r>
      <w:r>
        <w:rPr>
          <w:rStyle w:val="FootnoteReference"/>
          <w:sz w:val="24"/>
          <w:szCs w:val="24"/>
          <w:shd w:fill="auto" w:val="clear"/>
        </w:rPr>
        <w:footnoteReference w:id="3"/>
      </w:r>
      <w:r>
        <w:rPr>
          <w:sz w:val="24"/>
          <w:szCs w:val="24"/>
          <w:shd w:fill="auto" w:val="clear"/>
        </w:rPr>
        <w:t xml:space="preserve"> с даты подписания Сторонами накладной ТОРГ-12/УПД, на основании счета, выставленного Поставщиком, и с учетом пункта 2.4.3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9"/>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Normal"/>
        <w:numPr>
          <w:ilvl w:val="1"/>
          <w:numId w:val="2"/>
        </w:numPr>
        <w:shd w:val="clear" w:color="auto" w:fill="FFFFFF"/>
        <w:tabs>
          <w:tab w:val="clear" w:pos="709"/>
          <w:tab w:val="left" w:pos="0" w:leader="none"/>
          <w:tab w:val="left" w:pos="567" w:leader="none"/>
          <w:tab w:val="left" w:pos="716" w:leader="none"/>
          <w:tab w:val="left" w:pos="1134" w:leader="none"/>
        </w:tabs>
        <w:ind w:left="0" w:firstLine="709"/>
        <w:jc w:val="both"/>
        <w:rPr>
          <w:sz w:val="24"/>
          <w:szCs w:val="24"/>
        </w:rPr>
      </w:pPr>
      <w:r>
        <w:rPr>
          <w:sz w:val="24"/>
          <w:szCs w:val="24"/>
        </w:rPr>
        <w:t>Поставщик обязан представить Покупателю счета-фактуры/УПД,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счета-фактуры/УПД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9"/>
          <w:tab w:val="left" w:pos="1134" w:leader="none"/>
        </w:tabs>
        <w:ind w:left="0" w:firstLine="709"/>
        <w:jc w:val="both"/>
        <w:rPr>
          <w:sz w:val="24"/>
          <w:szCs w:val="24"/>
        </w:rPr>
      </w:pPr>
      <w:r>
        <w:rPr>
          <w:sz w:val="24"/>
          <w:szCs w:val="24"/>
        </w:rPr>
        <w:t xml:space="preserve">Поставщик обязан подписать акты сверки взаимных расчетов, направленные Покупателем в 2 (двух) экземплярах, и вернуть 1 (один) экземпляр Покупателю в течение </w:t>
        <w:br/>
        <w:t>5 (пяти) рабочих дней с даты получения экземпляров актов сверки расчетов от Покупателя.</w:t>
      </w:r>
    </w:p>
    <w:p>
      <w:pPr>
        <w:pStyle w:val="Normal"/>
        <w:numPr>
          <w:ilvl w:val="1"/>
          <w:numId w:val="2"/>
        </w:numPr>
        <w:shd w:val="clear" w:color="auto" w:fill="FFFFFF"/>
        <w:tabs>
          <w:tab w:val="clear" w:pos="709"/>
          <w:tab w:val="left" w:pos="0" w:leader="none"/>
          <w:tab w:val="left" w:pos="567" w:leader="none"/>
          <w:tab w:val="left" w:pos="716" w:leader="none"/>
          <w:tab w:val="left" w:pos="1134" w:leader="none"/>
          <w:tab w:val="left" w:pos="1276" w:leader="none"/>
        </w:tabs>
        <w:ind w:left="0" w:firstLine="709"/>
        <w:jc w:val="both"/>
        <w:rPr>
          <w:sz w:val="24"/>
          <w:szCs w:val="24"/>
        </w:rPr>
      </w:pPr>
      <w:r>
        <w:rPr>
          <w:sz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iCs/>
          <w:sz w:val="24"/>
          <w:szCs w:val="24"/>
        </w:rPr>
        <w:t>Поставщика перед Покупателем</w:t>
      </w:r>
      <w:r>
        <w:rPr>
          <w:sz w:val="24"/>
        </w:rPr>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ind w:firstLine="709"/>
        <w:jc w:val="both"/>
        <w:rPr>
          <w:sz w:val="24"/>
          <w:szCs w:val="24"/>
        </w:rPr>
      </w:pPr>
      <w:r>
        <w:rPr>
          <w:sz w:val="24"/>
        </w:rPr>
        <w:t>Покупатель направляет Поставщику уведомление о проведении сальдо взаимных обязательств Сторон по Договору.</w:t>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sz w:val="24"/>
          <w:szCs w:val="24"/>
        </w:rPr>
        <w:t>Поставка Товара осуществляется в Место поставки, указанное в пункте 1.3 Договора.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rPr>
        <w:t xml:space="preserve"> </w:t>
      </w:r>
      <w:r>
        <w:rPr>
          <w:bCs/>
          <w:sz w:val="24"/>
          <w:szCs w:val="24"/>
        </w:rPr>
        <w:t>в том числе указанным в Спецификации (Приложение № 1 к Договору), а также Применимого права.</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r>
        <w:rPr>
          <w:sz w:val="24"/>
          <w:szCs w:val="24"/>
        </w:rPr>
        <w:t>Поставляемый</w:t>
      </w:r>
      <w:r>
        <w:rPr>
          <w:bCs/>
          <w:sz w:val="24"/>
          <w:szCs w:val="24"/>
        </w:rPr>
        <w:t xml:space="preserve">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w:t>
        <w:br/>
        <w:t>и не обременен правами третьих лиц.</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r>
        <w:rPr>
          <w:sz w:val="24"/>
          <w:szCs w:val="24"/>
        </w:rPr>
        <w:t>Одновременно</w:t>
      </w:r>
      <w:r>
        <w:rPr>
          <w:bCs/>
          <w:sz w:val="24"/>
          <w:szCs w:val="24"/>
        </w:rPr>
        <w:t xml:space="preserve">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9"/>
          <w:tab w:val="left" w:pos="1418" w:leader="none"/>
        </w:tabs>
        <w:ind w:left="0" w:firstLine="709"/>
        <w:jc w:val="both"/>
        <w:rPr>
          <w:sz w:val="24"/>
          <w:szCs w:val="24"/>
        </w:rPr>
      </w:pPr>
      <w:r>
        <w:rPr>
          <w:sz w:val="24"/>
          <w:szCs w:val="24"/>
        </w:rPr>
        <w:t xml:space="preserve">сертификат качества в </w:t>
      </w:r>
      <w:r>
        <w:rPr>
          <w:sz w:val="24"/>
          <w:szCs w:val="24"/>
          <w:highlight w:val="lightGray"/>
        </w:rPr>
        <w:t>__(____)</w:t>
      </w:r>
      <w:r>
        <w:rPr>
          <w:sz w:val="24"/>
          <w:szCs w:val="24"/>
        </w:rPr>
        <w:t xml:space="preserve"> экз.;</w:t>
      </w:r>
    </w:p>
    <w:p>
      <w:pPr>
        <w:pStyle w:val="Normal"/>
        <w:numPr>
          <w:ilvl w:val="0"/>
          <w:numId w:val="4"/>
        </w:numPr>
        <w:tabs>
          <w:tab w:val="clear" w:pos="709"/>
          <w:tab w:val="left" w:pos="1418" w:leader="none"/>
        </w:tabs>
        <w:ind w:left="0" w:firstLine="709"/>
        <w:jc w:val="both"/>
        <w:rPr>
          <w:sz w:val="24"/>
          <w:szCs w:val="24"/>
        </w:rPr>
      </w:pPr>
      <w:r>
        <w:rPr>
          <w:sz w:val="24"/>
          <w:szCs w:val="24"/>
        </w:rPr>
        <w:t xml:space="preserve">технический паспорт на русском языке в </w:t>
      </w:r>
      <w:r>
        <w:rPr>
          <w:sz w:val="24"/>
          <w:szCs w:val="24"/>
          <w:highlight w:val="lightGray"/>
        </w:rPr>
        <w:t>__(____)</w:t>
      </w:r>
      <w:r>
        <w:rPr>
          <w:sz w:val="24"/>
          <w:szCs w:val="24"/>
        </w:rPr>
        <w:t xml:space="preserve"> экз.;</w:t>
      </w:r>
    </w:p>
    <w:p>
      <w:pPr>
        <w:pStyle w:val="Normal"/>
        <w:numPr>
          <w:ilvl w:val="0"/>
          <w:numId w:val="4"/>
        </w:numPr>
        <w:tabs>
          <w:tab w:val="clear" w:pos="709"/>
          <w:tab w:val="left" w:pos="1418" w:leader="none"/>
        </w:tabs>
        <w:ind w:left="0" w:firstLine="709"/>
        <w:jc w:val="both"/>
        <w:rPr>
          <w:sz w:val="24"/>
          <w:szCs w:val="24"/>
        </w:rPr>
      </w:pPr>
      <w:r>
        <w:rPr>
          <w:sz w:val="24"/>
          <w:szCs w:val="24"/>
        </w:rPr>
        <w:t xml:space="preserve">инструкция по эксплуатации на русском языке в </w:t>
      </w:r>
      <w:r>
        <w:rPr>
          <w:sz w:val="24"/>
          <w:szCs w:val="24"/>
          <w:highlight w:val="lightGray"/>
        </w:rPr>
        <w:t>__(____)</w:t>
      </w:r>
      <w:r>
        <w:rPr>
          <w:sz w:val="24"/>
          <w:szCs w:val="24"/>
        </w:rPr>
        <w:t xml:space="preserve"> экз.;</w:t>
      </w:r>
    </w:p>
    <w:p>
      <w:pPr>
        <w:pStyle w:val="Normal"/>
        <w:numPr>
          <w:ilvl w:val="0"/>
          <w:numId w:val="4"/>
        </w:numPr>
        <w:tabs>
          <w:tab w:val="clear" w:pos="709"/>
          <w:tab w:val="left" w:pos="1418" w:leader="none"/>
        </w:tabs>
        <w:ind w:left="0" w:firstLine="709"/>
        <w:jc w:val="both"/>
        <w:rPr>
          <w:sz w:val="24"/>
          <w:szCs w:val="24"/>
        </w:rPr>
      </w:pPr>
      <w:r>
        <w:rPr>
          <w:sz w:val="24"/>
          <w:szCs w:val="24"/>
        </w:rPr>
        <w:t xml:space="preserve">упаковочный лист в </w:t>
      </w:r>
      <w:r>
        <w:rPr>
          <w:sz w:val="24"/>
          <w:szCs w:val="24"/>
          <w:highlight w:val="lightGray"/>
        </w:rPr>
        <w:t>__(____)</w:t>
      </w:r>
      <w:r>
        <w:rPr>
          <w:sz w:val="24"/>
          <w:szCs w:val="24"/>
        </w:rPr>
        <w:t xml:space="preserve"> экз.;</w:t>
      </w:r>
    </w:p>
    <w:p>
      <w:pPr>
        <w:pStyle w:val="Normal"/>
        <w:numPr>
          <w:ilvl w:val="0"/>
          <w:numId w:val="3"/>
        </w:numPr>
        <w:tabs>
          <w:tab w:val="clear" w:pos="709"/>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tabs>
          <w:tab w:val="clear" w:pos="709"/>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__(____) экз.;</w:t>
      </w:r>
    </w:p>
    <w:p>
      <w:pPr>
        <w:pStyle w:val="Normal"/>
        <w:numPr>
          <w:ilvl w:val="0"/>
          <w:numId w:val="3"/>
        </w:numPr>
        <w:shd w:val="clear" w:color="auto" w:fill="FFFFFF"/>
        <w:tabs>
          <w:tab w:val="clear" w:pos="709"/>
          <w:tab w:val="left" w:pos="1418" w:leader="none"/>
        </w:tabs>
        <w:ind w:left="0" w:firstLine="709"/>
        <w:jc w:val="both"/>
        <w:rPr>
          <w:sz w:val="24"/>
          <w:szCs w:val="24"/>
        </w:rPr>
      </w:pPr>
      <w:r>
        <w:rPr>
          <w:sz w:val="24"/>
          <w:szCs w:val="24"/>
        </w:rPr>
        <w:t xml:space="preserve">Накладная ТОРГ-12/УПД в </w:t>
      </w:r>
      <w:r>
        <w:rPr>
          <w:sz w:val="24"/>
          <w:szCs w:val="24"/>
          <w:highlight w:val="lightGray"/>
        </w:rPr>
        <w:t>__(____)</w:t>
      </w:r>
      <w:r>
        <w:rPr>
          <w:sz w:val="24"/>
          <w:szCs w:val="24"/>
        </w:rPr>
        <w:t xml:space="preserve"> экз.</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w:t>
      </w:r>
      <w:r>
        <w:rPr>
          <w:sz w:val="24"/>
          <w:szCs w:val="24"/>
        </w:rPr>
        <w:t>своего</w:t>
      </w:r>
      <w:r>
        <w:rPr>
          <w:bCs/>
          <w:sz w:val="24"/>
          <w:szCs w:val="24"/>
        </w:rPr>
        <w:t xml:space="preserve"> представителя, уполномоченного надлежащим образом оформленной доверенностью на передачу Товара Покупателю, подписание Акта рекламации. </w:t>
        <w:br/>
        <w:t xml:space="preserve">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w:t>
        <w:br/>
        <w:t xml:space="preserve">как просрочку поставки. </w:t>
      </w:r>
    </w:p>
    <w:p>
      <w:pPr>
        <w:pStyle w:val="ListParagraph"/>
        <w:shd w:val="clear" w:color="auto" w:fill="FFFFFF"/>
        <w:tabs>
          <w:tab w:val="clear" w:pos="709"/>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r>
        <w:rPr>
          <w:bCs/>
          <w:sz w:val="24"/>
          <w:szCs w:val="24"/>
        </w:rPr>
        <w:t xml:space="preserve">В </w:t>
      </w:r>
      <w:r>
        <w:rPr>
          <w:sz w:val="24"/>
          <w:szCs w:val="24"/>
        </w:rPr>
        <w:t>случае</w:t>
      </w:r>
      <w:r>
        <w:rPr>
          <w:bCs/>
          <w:sz w:val="24"/>
          <w:szCs w:val="24"/>
        </w:rPr>
        <w:t xml:space="preserve"> неявки представителя Поставщика и / или его отказа от подписания Акта рекламации при приемке Товара, составленный и подписанный Покупателем </w:t>
        <w:br/>
        <w:t>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bookmarkStart w:id="0" w:name="_Ref361408474"/>
      <w:r>
        <w:rPr>
          <w:sz w:val="24"/>
          <w:szCs w:val="24"/>
        </w:rPr>
        <w:t>Товар</w:t>
      </w:r>
      <w:r>
        <w:rPr>
          <w:bCs/>
          <w:sz w:val="24"/>
          <w:szCs w:val="24"/>
        </w:rPr>
        <w:t xml:space="preserve">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0"/>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w:t>
        <w:br/>
        <w:t xml:space="preserve">в сопроводительных документах).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 xml:space="preserve">Погрузка, доставка, разгрузка </w:t>
      </w:r>
      <w:r>
        <w:rPr>
          <w:sz w:val="24"/>
          <w:szCs w:val="24"/>
          <w:shd w:fill="auto" w:val="clear"/>
        </w:rPr>
        <w:t xml:space="preserve">и перемещение Товара (в том числе </w:t>
        <w:br/>
        <w:t>по территории Покупателя)</w:t>
      </w:r>
      <w:r>
        <w:rPr>
          <w:sz w:val="24"/>
          <w:szCs w:val="24"/>
          <w:shd w:fill="auto" w:val="clear"/>
          <w:vertAlign w:val="superscript"/>
        </w:rPr>
        <w:t xml:space="preserve"> </w:t>
      </w:r>
      <w:r>
        <w:rPr>
          <w:bCs/>
          <w:sz w:val="24"/>
          <w:szCs w:val="24"/>
          <w:shd w:fill="auto" w:val="clear"/>
        </w:rPr>
        <w:t>осуществляется</w:t>
      </w:r>
      <w:r>
        <w:rPr>
          <w:sz w:val="24"/>
          <w:szCs w:val="24"/>
          <w:shd w:fill="auto" w:val="clear"/>
        </w:rPr>
        <w:t xml:space="preserve"> Поставщиком. Стоимость погрузки, доставки, разгрузки и перемещения Товара включена в с</w:t>
      </w:r>
      <w:r>
        <w:rPr>
          <w:sz w:val="24"/>
          <w:szCs w:val="24"/>
        </w:rPr>
        <w:t>тоимость Товара.</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bookmarkStart w:id="1" w:name="_Ref361396594"/>
      <w:r>
        <w:rPr>
          <w:sz w:val="24"/>
          <w:szCs w:val="24"/>
        </w:rPr>
        <w:t xml:space="preserve">Датой поставки Товара является дата подписания Сторонами Накладной </w:t>
        <w:br/>
        <w:t>ТОРГ-12/УПД.</w:t>
      </w:r>
      <w:bookmarkEnd w:id="1"/>
      <w:r>
        <w:rPr>
          <w:sz w:val="24"/>
          <w:szCs w:val="24"/>
        </w:rPr>
        <w:t xml:space="preserve"> </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Pr>
          <w:sz w:val="24"/>
          <w:szCs w:val="24"/>
          <w:highlight w:val="lightGray"/>
        </w:rPr>
        <w:t>3 (трех)</w:t>
      </w:r>
      <w:r>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w:t>
        <w:br/>
        <w:t xml:space="preserve">а также восполнить недопоставку Товара в срок, письменно согласованный с Покупателем. </w:t>
      </w:r>
    </w:p>
    <w:p>
      <w:pPr>
        <w:pStyle w:val="ListParagraph"/>
        <w:shd w:val="clear" w:color="auto" w:fill="FFFFFF"/>
        <w:tabs>
          <w:tab w:val="clear" w:pos="709"/>
          <w:tab w:val="left" w:pos="1418" w:leader="none"/>
        </w:tabs>
        <w:ind w:left="0" w:firstLine="709"/>
        <w:jc w:val="both"/>
        <w:rPr>
          <w:sz w:val="24"/>
          <w:szCs w:val="24"/>
        </w:rPr>
      </w:pPr>
      <w:bookmarkStart w:id="2"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Pr>
          <w:sz w:val="24"/>
          <w:szCs w:val="24"/>
        </w:rPr>
        <w:t xml:space="preserve"> </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w:t>
        <w:br/>
        <w:t xml:space="preserve">в присутствии представителя Поставщика в течение </w:t>
      </w:r>
      <w:r>
        <w:rPr>
          <w:sz w:val="24"/>
          <w:szCs w:val="24"/>
          <w:highlight w:val="lightGray"/>
        </w:rPr>
        <w:t>10 (десяти)</w:t>
      </w:r>
      <w:r>
        <w:rPr>
          <w:sz w:val="24"/>
          <w:szCs w:val="24"/>
        </w:rPr>
        <w:t xml:space="preserve"> рабочих дней </w:t>
        <w:br/>
        <w:t>с даты подписания Покупателем транспортных документов. В случае отсутствия замечаний Покупатель подписывает Накладную ТОРГ-12/УПД.</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 xml:space="preserve">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w:t>
        <w:br/>
        <w:t>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 xml:space="preserve">Покупатель вправе не производить любые платежи, предусмотренные Договором, </w:t>
        <w:br/>
        <w:t xml:space="preserve">до исполнения Поставщиком своих обязательств по Договору, при этом Покупатель </w:t>
        <w:br/>
        <w:t>не считается просрочившим.</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w:t>
        <w:br/>
        <w:t>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9"/>
          <w:tab w:val="left" w:pos="1283" w:leader="none"/>
          <w:tab w:val="left" w:pos="1851" w:leader="none"/>
        </w:tabs>
        <w:ind w:firstLine="709"/>
        <w:jc w:val="both"/>
        <w:rPr>
          <w:sz w:val="24"/>
          <w:szCs w:val="24"/>
        </w:rPr>
      </w:pPr>
      <w:r>
        <w:rPr>
          <w:sz w:val="24"/>
          <w:szCs w:val="24"/>
        </w:rPr>
        <w:t xml:space="preserve">Если Поставщик не вывезет Товар в указанный срок, Покупатель вправе самостоятельно возвратить Товар Поставщику. Расходы, понесенные Покупателем в связи </w:t>
        <w:br/>
        <w:t>с возвратом Товара, подлежат возмещению Поставщиком.</w:t>
      </w:r>
    </w:p>
    <w:p>
      <w:pPr>
        <w:pStyle w:val="ListParagraph"/>
        <w:widowControl/>
        <w:numPr>
          <w:ilvl w:val="1"/>
          <w:numId w:val="2"/>
        </w:numPr>
        <w:shd w:val="clear" w:color="auto" w:fill="FFFFFF"/>
        <w:tabs>
          <w:tab w:val="clear" w:pos="709"/>
          <w:tab w:val="left" w:pos="1276" w:leader="none"/>
        </w:tabs>
        <w:ind w:left="0" w:firstLine="709"/>
        <w:jc w:val="both"/>
        <w:rPr>
          <w:b/>
          <w:color w:val="000000"/>
          <w:sz w:val="24"/>
          <w:szCs w:val="24"/>
        </w:rPr>
      </w:pPr>
      <w:r>
        <w:rPr>
          <w:sz w:val="24"/>
          <w:szCs w:val="24"/>
        </w:rPr>
        <w:t xml:space="preserve">По иным вопросам, касающимся приемки Товара по количеству, качеству </w:t>
        <w:br/>
        <w:t xml:space="preserve">и комплектности в части, не противоречащей законодательству Российской Федерации </w:t>
        <w:br/>
        <w:t>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b/>
          <w:bCs/>
          <w:color w:val="000000"/>
          <w:sz w:val="24"/>
          <w:szCs w:val="24"/>
        </w:rPr>
        <w:t xml:space="preserve"> </w:t>
      </w:r>
    </w:p>
    <w:p>
      <w:pPr>
        <w:pStyle w:val="ListParagraph"/>
        <w:widowControl/>
        <w:numPr>
          <w:ilvl w:val="1"/>
          <w:numId w:val="2"/>
        </w:numPr>
        <w:shd w:val="clear" w:color="auto" w:fill="FFFFFF"/>
        <w:tabs>
          <w:tab w:val="clear" w:pos="709"/>
          <w:tab w:val="left" w:pos="1276"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ТОРГ-12/УПД.</w:t>
      </w:r>
    </w:p>
    <w:p>
      <w:pPr>
        <w:pStyle w:val="Normal"/>
        <w:shd w:val="clear" w:color="auto" w:fill="FFFFFF"/>
        <w:jc w:val="both"/>
        <w:rPr>
          <w:sz w:val="24"/>
          <w:szCs w:val="24"/>
        </w:rPr>
      </w:pPr>
      <w:r>
        <w:rPr>
          <w:sz w:val="24"/>
          <w:szCs w:val="24"/>
        </w:rPr>
      </w:r>
    </w:p>
    <w:p>
      <w:pPr>
        <w:pStyle w:val="ListParagraph"/>
        <w:numPr>
          <w:ilvl w:val="0"/>
          <w:numId w:val="2"/>
        </w:numPr>
        <w:shd w:val="clear" w:color="auto" w:fill="FFFFFF"/>
        <w:tabs>
          <w:tab w:val="clear" w:pos="709"/>
          <w:tab w:val="left" w:pos="284" w:leader="none"/>
        </w:tabs>
        <w:ind w:left="0" w:hanging="0"/>
        <w:jc w:val="center"/>
        <w:rPr>
          <w:b/>
          <w:sz w:val="24"/>
          <w:szCs w:val="24"/>
        </w:rPr>
      </w:pPr>
      <w:r>
        <w:rPr>
          <w:b/>
          <w:sz w:val="24"/>
          <w:szCs w:val="24"/>
        </w:rPr>
        <w:t>Гарантийный срок</w:t>
      </w:r>
    </w:p>
    <w:p>
      <w:pPr>
        <w:pStyle w:val="ListParagraph"/>
        <w:numPr>
          <w:ilvl w:val="1"/>
          <w:numId w:val="2"/>
        </w:numPr>
        <w:tabs>
          <w:tab w:val="left" w:pos="709" w:leader="none"/>
          <w:tab w:val="left" w:pos="1134" w:leader="none"/>
        </w:tabs>
        <w:ind w:left="0" w:firstLine="709"/>
        <w:jc w:val="both"/>
        <w:rPr>
          <w:sz w:val="24"/>
          <w:szCs w:val="24"/>
        </w:rPr>
      </w:pPr>
      <w:r>
        <w:rPr>
          <w:sz w:val="24"/>
          <w:szCs w:val="24"/>
        </w:rPr>
        <w:t>Гарантийный срок на Товар, поставленный по Договору, составляет 12</w:t>
      </w:r>
      <w:r>
        <w:rPr>
          <w:sz w:val="24"/>
          <w:szCs w:val="24"/>
          <w:highlight w:val="lightGray"/>
        </w:rPr>
        <w:t xml:space="preserve"> </w:t>
      </w:r>
      <w:r>
        <w:rPr>
          <w:sz w:val="24"/>
          <w:szCs w:val="24"/>
          <w:shd w:fill="auto" w:val="clear"/>
        </w:rPr>
        <w:t>(Двенадцать) м</w:t>
      </w:r>
      <w:r>
        <w:rPr>
          <w:sz w:val="24"/>
          <w:szCs w:val="24"/>
        </w:rPr>
        <w:t>есяцев и начинает течь с даты подписания Сторонами Накладной ТОРГ-12/УПД.</w:t>
      </w:r>
      <w:r>
        <w:rPr/>
        <w:t xml:space="preserve"> </w:t>
      </w:r>
      <w:r>
        <w:rPr>
          <w:sz w:val="24"/>
          <w:szCs w:val="24"/>
        </w:rPr>
        <w:t xml:space="preserve">Гарантийный срок может быть продлен в соответствии с условиями Договора. </w:t>
      </w:r>
    </w:p>
    <w:p>
      <w:pPr>
        <w:pStyle w:val="ListParagraph"/>
        <w:tabs>
          <w:tab w:val="clear" w:pos="709"/>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w:t>
        <w:br/>
        <w:t xml:space="preserve">к Товару, и Применимого права, возможность эксплуатации (использования) Товара </w:t>
        <w:br/>
        <w:t xml:space="preserve">в соответствии с его целевым назначением, а также несет безусловную ответственность </w:t>
        <w:br/>
        <w:t xml:space="preserve">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w:t>
        <w:br/>
        <w:t xml:space="preserve">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w:t>
        <w:br/>
        <w:t>и будет признан Сторонами действительным.</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Pr>
          <w:sz w:val="24"/>
          <w:szCs w:val="24"/>
        </w:rPr>
        <w:t>Покупателем в соответствии с пунктом 4.3 Договора</w:t>
      </w:r>
      <w:bookmarkEnd w:id="3"/>
      <w:bookmarkEnd w:id="4"/>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w:t>
        <w:br/>
        <w:t xml:space="preserve">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Поставщик обязан предоставить Покупателю копию(-и) заключения(-ий) </w:t>
        <w:br/>
        <w:t xml:space="preserve">о подтверждении производства Товара на территории Российской Федерации, </w:t>
        <w:br/>
        <w:t>выданного(-ых) Минпромторгом России в соответствии с постановлением Правительства Российской Федерации от 17.07.2015 № 719 «О подтверждении производства промышленной продукции на территории Российской Федерации» не позднее 6 (шести) месяцев после окончания установленного Договором срока поставки Товара</w:t>
      </w:r>
      <w:r>
        <w:rPr>
          <w:rStyle w:val="FootnoteReference"/>
          <w:sz w:val="24"/>
          <w:szCs w:val="24"/>
        </w:rPr>
        <w:footnoteReference w:id="4"/>
      </w:r>
      <w:r>
        <w:rPr>
          <w:sz w:val="24"/>
          <w:szCs w:val="24"/>
        </w:rPr>
        <w:t>.</w:t>
      </w:r>
    </w:p>
    <w:p>
      <w:pPr>
        <w:pStyle w:val="Normal"/>
        <w:shd w:val="clear" w:color="auto" w:fill="FFFFFF"/>
        <w:tabs>
          <w:tab w:val="clear" w:pos="709"/>
          <w:tab w:val="left" w:pos="1190" w:leader="none"/>
        </w:tabs>
        <w:jc w:val="both"/>
        <w:rPr>
          <w:sz w:val="24"/>
          <w:szCs w:val="24"/>
        </w:rPr>
      </w:pPr>
      <w:r>
        <w:rPr>
          <w:sz w:val="24"/>
          <w:szCs w:val="24"/>
        </w:rPr>
      </w:r>
    </w:p>
    <w:p>
      <w:pPr>
        <w:pStyle w:val="Normal"/>
        <w:numPr>
          <w:ilvl w:val="0"/>
          <w:numId w:val="0"/>
        </w:numPr>
        <w:shd w:val="clear" w:color="auto" w:fill="FFFFFF"/>
        <w:tabs>
          <w:tab w:val="clear" w:pos="709"/>
          <w:tab w:val="left" w:pos="284" w:leader="none"/>
        </w:tabs>
        <w:ind w:left="0" w:hanging="0"/>
        <w:jc w:val="center"/>
        <w:rPr>
          <w:b/>
          <w:bCs/>
          <w:sz w:val="24"/>
          <w:szCs w:val="24"/>
        </w:rPr>
      </w:pPr>
      <w:r>
        <w:rPr>
          <w:b/>
          <w:bCs/>
          <w:sz w:val="24"/>
          <w:szCs w:val="24"/>
        </w:rPr>
        <w:t>5. Ответственность Сторон</w:t>
      </w:r>
    </w:p>
    <w:p>
      <w:pPr>
        <w:pStyle w:val="ListParagraph"/>
        <w:numPr>
          <w:ilvl w:val="0"/>
          <w:numId w:val="0"/>
        </w:numPr>
        <w:tabs>
          <w:tab w:val="clear" w:pos="709"/>
          <w:tab w:val="left" w:pos="1276" w:leader="none"/>
        </w:tabs>
        <w:ind w:left="0" w:hanging="0"/>
        <w:jc w:val="both"/>
        <w:rPr>
          <w:sz w:val="24"/>
          <w:szCs w:val="24"/>
        </w:rPr>
      </w:pPr>
      <w:r>
        <w:rPr>
          <w:sz w:val="24"/>
          <w:szCs w:val="24"/>
        </w:rPr>
        <w:t xml:space="preserve">       </w:t>
      </w:r>
      <w:r>
        <w:rPr>
          <w:sz w:val="24"/>
          <w:szCs w:val="24"/>
        </w:rPr>
        <w:t xml:space="preserve">5.1.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ListParagraph"/>
        <w:numPr>
          <w:ilvl w:val="0"/>
          <w:numId w:val="0"/>
        </w:numPr>
        <w:tabs>
          <w:tab w:val="clear" w:pos="709"/>
          <w:tab w:val="left" w:pos="1276" w:leader="none"/>
        </w:tabs>
        <w:ind w:left="0" w:hanging="0"/>
        <w:jc w:val="both"/>
        <w:rPr>
          <w:sz w:val="24"/>
          <w:szCs w:val="24"/>
        </w:rPr>
      </w:pPr>
      <w:r>
        <w:rPr>
          <w:bCs/>
          <w:sz w:val="24"/>
          <w:szCs w:val="24"/>
        </w:rPr>
        <w:t xml:space="preserve">            </w:t>
      </w:r>
      <w:r>
        <w:rPr>
          <w:bCs/>
          <w:sz w:val="24"/>
          <w:szCs w:val="24"/>
        </w:rPr>
        <w:t>5.2. Покупатель не несет ответственности за ненадлежащее исполнение обязательств по внесению предварительной оплаты (аванса). В случае нарушения Покупателем сроков выплаты авансового платежа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0"/>
          <w:numId w:val="0"/>
        </w:numPr>
        <w:tabs>
          <w:tab w:val="clear" w:pos="709"/>
          <w:tab w:val="left" w:pos="1276" w:leader="none"/>
        </w:tabs>
        <w:ind w:left="0" w:hanging="0"/>
        <w:jc w:val="both"/>
        <w:rPr>
          <w:bCs/>
          <w:sz w:val="24"/>
          <w:szCs w:val="24"/>
        </w:rPr>
      </w:pPr>
      <w:r>
        <w:rPr>
          <w:bCs/>
          <w:sz w:val="24"/>
          <w:szCs w:val="24"/>
        </w:rPr>
        <w:t xml:space="preserve">         </w:t>
      </w:r>
      <w:r>
        <w:rPr>
          <w:bCs/>
          <w:sz w:val="24"/>
          <w:szCs w:val="24"/>
        </w:rPr>
        <w:t>5.3. В случае нарушения Покупателем сроков оплаты, установленных разделом 2 Договора (за исключением срока оплаты авансового платежа), Поставщик вправе требовать уплаты Покупателем исключительной неустойки в размере 0,1 (ноль целых и одной десятой) процента от несвоевременно оплаченной суммы за каждый день просрочки.</w:t>
      </w:r>
    </w:p>
    <w:p>
      <w:pPr>
        <w:pStyle w:val="Normal"/>
        <w:widowControl/>
        <w:numPr>
          <w:ilvl w:val="0"/>
          <w:numId w:val="0"/>
        </w:numPr>
        <w:tabs>
          <w:tab w:val="clear" w:pos="709"/>
          <w:tab w:val="left" w:pos="1276" w:leader="none"/>
        </w:tabs>
        <w:ind w:left="0" w:hanging="0"/>
        <w:jc w:val="both"/>
        <w:rPr>
          <w:sz w:val="24"/>
          <w:szCs w:val="24"/>
        </w:rPr>
      </w:pPr>
      <w:r>
        <w:rPr>
          <w:bCs/>
          <w:sz w:val="24"/>
          <w:szCs w:val="24"/>
        </w:rPr>
        <w:t xml:space="preserve">             </w:t>
      </w:r>
      <w:r>
        <w:rPr>
          <w:bCs/>
          <w:sz w:val="24"/>
          <w:szCs w:val="24"/>
        </w:rPr>
        <w:t xml:space="preserve">5.4. В случае </w:t>
      </w:r>
      <w:r>
        <w:rPr>
          <w:sz w:val="24"/>
          <w:szCs w:val="24"/>
        </w:rPr>
        <w:t>нарушения Поставщиком обязательств по поставке Товара (</w:t>
      </w:r>
      <w:r>
        <w:rPr>
          <w:rFonts w:eastAsia="Calibri"/>
          <w:bCs/>
          <w:sz w:val="24"/>
          <w:szCs w:val="24"/>
        </w:rPr>
        <w:t>нарушение срока поставки, недопоставка)</w:t>
      </w:r>
      <w:r>
        <w:rPr>
          <w:sz w:val="24"/>
          <w:szCs w:val="24"/>
        </w:rPr>
        <w:t>, Покупатель вправе требовать уплаты Поставщиком неустойки в размере 0,1 (ноль целых и одной десятой) процента от Цены Договора за каждый день просрочки.</w:t>
      </w:r>
    </w:p>
    <w:p>
      <w:pPr>
        <w:pStyle w:val="ListParagraph"/>
        <w:widowControl/>
        <w:numPr>
          <w:ilvl w:val="0"/>
          <w:numId w:val="0"/>
        </w:numPr>
        <w:tabs>
          <w:tab w:val="clear" w:pos="709"/>
          <w:tab w:val="left" w:pos="1276" w:leader="none"/>
        </w:tabs>
        <w:ind w:left="0" w:hanging="0"/>
        <w:jc w:val="both"/>
        <w:rPr>
          <w:sz w:val="24"/>
          <w:szCs w:val="24"/>
        </w:rPr>
      </w:pPr>
      <w:r>
        <w:rPr>
          <w:sz w:val="24"/>
          <w:szCs w:val="24"/>
        </w:rPr>
        <w:t xml:space="preserve">         </w:t>
      </w:r>
      <w:r>
        <w:rPr>
          <w:sz w:val="24"/>
          <w:szCs w:val="24"/>
        </w:rPr>
        <w:t>5.5. В случае несвоевременного устранения Поставщиком выявленных недостатков Товара, Покупатель вправе требовать уплаты Поставщиком:</w:t>
      </w:r>
    </w:p>
    <w:p>
      <w:pPr>
        <w:pStyle w:val="ListParagraph"/>
        <w:widowControl/>
        <w:numPr>
          <w:ilvl w:val="0"/>
          <w:numId w:val="0"/>
        </w:numPr>
        <w:ind w:left="0" w:hanging="0"/>
        <w:jc w:val="both"/>
        <w:rPr>
          <w:sz w:val="24"/>
          <w:szCs w:val="24"/>
        </w:rPr>
      </w:pPr>
      <w:r>
        <w:rPr>
          <w:sz w:val="24"/>
          <w:szCs w:val="24"/>
        </w:rPr>
        <w:t xml:space="preserve">         </w:t>
      </w:r>
      <w:r>
        <w:rPr>
          <w:sz w:val="24"/>
          <w:szCs w:val="24"/>
        </w:rPr>
        <w:t xml:space="preserve">5.5.1. Неустойки в размере 0,1 (ноль целых и одной десятой)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w:t>
        <w:br/>
        <w:t>в целом.</w:t>
      </w:r>
    </w:p>
    <w:p>
      <w:pPr>
        <w:pStyle w:val="ListParagraph"/>
        <w:widowControl/>
        <w:numPr>
          <w:ilvl w:val="0"/>
          <w:numId w:val="0"/>
        </w:numPr>
        <w:ind w:left="0" w:hanging="0"/>
        <w:jc w:val="both"/>
        <w:rPr>
          <w:sz w:val="24"/>
          <w:szCs w:val="24"/>
        </w:rPr>
      </w:pPr>
      <w:r>
        <w:rPr>
          <w:sz w:val="24"/>
          <w:szCs w:val="24"/>
        </w:rPr>
        <w:t xml:space="preserve">         </w:t>
      </w:r>
      <w:r>
        <w:rPr>
          <w:sz w:val="24"/>
          <w:szCs w:val="24"/>
        </w:rPr>
        <w:t>5.5.2. Неустойки в размере 0,1 (ноль целых и одной десятой)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ListParagraph"/>
        <w:widowControl/>
        <w:numPr>
          <w:ilvl w:val="0"/>
          <w:numId w:val="0"/>
        </w:numPr>
        <w:tabs>
          <w:tab w:val="clear" w:pos="709"/>
          <w:tab w:val="left" w:pos="1276" w:leader="none"/>
          <w:tab w:val="left" w:pos="1701" w:leader="none"/>
        </w:tabs>
        <w:ind w:left="0" w:hanging="0"/>
        <w:jc w:val="both"/>
        <w:rPr>
          <w:sz w:val="24"/>
          <w:szCs w:val="24"/>
        </w:rPr>
      </w:pPr>
      <w:r>
        <w:rPr>
          <w:rFonts w:eastAsia="Calibri"/>
          <w:bCs/>
          <w:sz w:val="24"/>
          <w:szCs w:val="24"/>
        </w:rPr>
        <w:t xml:space="preserve">    </w:t>
      </w:r>
      <w:r>
        <w:rPr>
          <w:rFonts w:eastAsia="Calibri"/>
          <w:bCs/>
          <w:sz w:val="24"/>
          <w:szCs w:val="24"/>
        </w:rPr>
        <w:t xml:space="preserve">5.6. На сумму подлежащего возврату аванса начисляется неустойка в размере </w:t>
        <w:br/>
        <w:t>0,1 (ноль целых и одной десятой) процента с даты, установленной для возврата аванса</w:t>
      </w:r>
      <w:r>
        <w:rPr>
          <w:sz w:val="24"/>
          <w:szCs w:val="24"/>
        </w:rPr>
        <w:t>.</w:t>
      </w:r>
    </w:p>
    <w:p>
      <w:pPr>
        <w:pStyle w:val="ListParagraph"/>
        <w:widowControl/>
        <w:numPr>
          <w:ilvl w:val="0"/>
          <w:numId w:val="0"/>
        </w:numPr>
        <w:shd w:val="clear" w:color="auto" w:fill="FFFFFF"/>
        <w:tabs>
          <w:tab w:val="clear" w:pos="709"/>
          <w:tab w:val="left" w:pos="1276" w:leader="none"/>
        </w:tabs>
        <w:ind w:left="0" w:hanging="0"/>
        <w:jc w:val="both"/>
        <w:rPr>
          <w:bCs/>
          <w:sz w:val="24"/>
          <w:szCs w:val="24"/>
        </w:rPr>
      </w:pPr>
      <w:r>
        <w:rPr>
          <w:bCs/>
          <w:sz w:val="24"/>
          <w:szCs w:val="24"/>
        </w:rPr>
        <w:t xml:space="preserve">  </w:t>
      </w:r>
      <w:r>
        <w:rPr>
          <w:bCs/>
          <w:sz w:val="24"/>
          <w:szCs w:val="24"/>
        </w:rPr>
        <w:t xml:space="preserve">5.7. В случае нарушения Поставщиком требований пропускного </w:t>
        <w:br/>
        <w:t xml:space="preserve">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pPr>
        <w:pStyle w:val="ListParagraph"/>
        <w:widowControl/>
        <w:numPr>
          <w:ilvl w:val="0"/>
          <w:numId w:val="0"/>
        </w:numPr>
        <w:shd w:val="clear" w:color="auto" w:fill="FFFFFF"/>
        <w:tabs>
          <w:tab w:val="clear" w:pos="709"/>
          <w:tab w:val="left" w:pos="1276" w:leader="none"/>
        </w:tabs>
        <w:ind w:left="0" w:hanging="0"/>
        <w:jc w:val="both"/>
        <w:rPr>
          <w:bCs/>
          <w:sz w:val="24"/>
          <w:szCs w:val="24"/>
        </w:rPr>
      </w:pPr>
      <w:r>
        <w:rPr>
          <w:bCs/>
          <w:sz w:val="24"/>
          <w:szCs w:val="24"/>
        </w:rPr>
        <w:t xml:space="preserve">           </w:t>
      </w:r>
      <w:r>
        <w:rPr>
          <w:bCs/>
          <w:sz w:val="24"/>
          <w:szCs w:val="24"/>
        </w:rPr>
        <w:t>5.8. Если в результате составления и выставления Поставщиком счетов-фактур/УПД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ind w:left="0" w:firstLine="709"/>
        <w:jc w:val="both"/>
        <w:rPr>
          <w:bCs/>
          <w:sz w:val="24"/>
          <w:szCs w:val="24"/>
        </w:rPr>
      </w:pPr>
      <w:r>
        <w:rPr>
          <w:bCs/>
          <w:sz w:val="24"/>
          <w:szCs w:val="24"/>
        </w:rPr>
        <w:t>В случае нарушения Поставщиком сроков предоставления счетов-фактур/УПД,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0"/>
          <w:numId w:val="0"/>
        </w:numPr>
        <w:shd w:val="clear" w:color="auto" w:fill="FFFFFF"/>
        <w:ind w:left="0" w:hanging="0"/>
        <w:jc w:val="both"/>
        <w:rPr>
          <w:bCs/>
          <w:sz w:val="24"/>
          <w:szCs w:val="24"/>
        </w:rPr>
      </w:pPr>
      <w:r>
        <w:rPr>
          <w:bCs/>
          <w:sz w:val="24"/>
          <w:szCs w:val="24"/>
        </w:rPr>
        <w:t xml:space="preserve">        </w:t>
      </w:r>
      <w:r>
        <w:rPr>
          <w:bCs/>
          <w:sz w:val="24"/>
          <w:szCs w:val="24"/>
        </w:rPr>
        <w:t xml:space="preserve">5.9. Поставщик несет ответственность перед Покупателем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0"/>
          <w:numId w:val="0"/>
        </w:numPr>
        <w:shd w:val="clear" w:color="auto" w:fill="FFFFFF"/>
        <w:ind w:left="0" w:hanging="0"/>
        <w:jc w:val="both"/>
        <w:rPr>
          <w:bCs/>
          <w:sz w:val="24"/>
          <w:szCs w:val="24"/>
        </w:rPr>
      </w:pPr>
      <w:r>
        <w:rPr>
          <w:bCs/>
          <w:sz w:val="24"/>
          <w:szCs w:val="24"/>
        </w:rPr>
        <w:t xml:space="preserve">     </w:t>
      </w:r>
      <w:r>
        <w:rPr>
          <w:bCs/>
          <w:sz w:val="24"/>
          <w:szCs w:val="24"/>
        </w:rPr>
        <w:t xml:space="preserve">5.10.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0"/>
          <w:numId w:val="0"/>
        </w:numPr>
        <w:shd w:val="clear" w:color="auto" w:fill="FFFFFF"/>
        <w:ind w:left="0" w:hanging="0"/>
        <w:jc w:val="both"/>
        <w:rPr>
          <w:bCs/>
          <w:sz w:val="24"/>
          <w:szCs w:val="24"/>
        </w:rPr>
      </w:pPr>
      <w:r>
        <w:rPr>
          <w:bCs/>
          <w:sz w:val="24"/>
          <w:szCs w:val="24"/>
        </w:rPr>
        <w:t xml:space="preserve">      </w:t>
      </w:r>
      <w:r>
        <w:rPr>
          <w:bCs/>
          <w:sz w:val="24"/>
          <w:szCs w:val="24"/>
        </w:rPr>
        <w:t>5.11.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0"/>
          <w:numId w:val="0"/>
        </w:numPr>
        <w:shd w:val="clear" w:color="auto" w:fill="FFFFFF"/>
        <w:ind w:left="0" w:hanging="0"/>
        <w:jc w:val="both"/>
        <w:rPr>
          <w:bCs/>
          <w:sz w:val="24"/>
          <w:szCs w:val="24"/>
        </w:rPr>
      </w:pPr>
      <w:r>
        <w:rPr>
          <w:bCs/>
          <w:sz w:val="24"/>
          <w:szCs w:val="24"/>
        </w:rPr>
        <w:t xml:space="preserve">     </w:t>
      </w:r>
      <w:r>
        <w:rPr>
          <w:bCs/>
          <w:sz w:val="24"/>
          <w:szCs w:val="24"/>
        </w:rPr>
        <w:t>5.12.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0"/>
          <w:numId w:val="0"/>
        </w:numPr>
        <w:shd w:val="clear" w:color="auto" w:fill="FFFFFF"/>
        <w:ind w:left="0" w:hanging="0"/>
        <w:jc w:val="both"/>
        <w:rPr>
          <w:bCs/>
          <w:sz w:val="24"/>
          <w:szCs w:val="24"/>
        </w:rPr>
      </w:pPr>
      <w:r>
        <w:rPr>
          <w:bCs/>
          <w:sz w:val="24"/>
          <w:szCs w:val="24"/>
        </w:rPr>
        <w:t xml:space="preserve">          </w:t>
      </w:r>
      <w:r>
        <w:rPr>
          <w:bCs/>
          <w:sz w:val="24"/>
          <w:szCs w:val="24"/>
        </w:rPr>
        <w:t xml:space="preserve">5.13. 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ListParagraph"/>
        <w:widowControl/>
        <w:numPr>
          <w:ilvl w:val="0"/>
          <w:numId w:val="0"/>
        </w:numPr>
        <w:shd w:val="clear" w:color="auto" w:fill="FFFFFF"/>
        <w:ind w:left="0" w:hanging="0"/>
        <w:jc w:val="both"/>
        <w:rPr>
          <w:bCs/>
          <w:sz w:val="24"/>
          <w:szCs w:val="24"/>
        </w:rPr>
      </w:pPr>
      <w:r>
        <w:rPr>
          <w:bCs/>
          <w:sz w:val="24"/>
          <w:szCs w:val="24"/>
        </w:rPr>
        <w:t xml:space="preserve">    </w:t>
      </w:r>
      <w:r>
        <w:rPr>
          <w:bCs/>
          <w:sz w:val="24"/>
          <w:szCs w:val="24"/>
        </w:rPr>
        <w:t xml:space="preserve">5.14. В случае нарушения Поставщиком срока предоставления документов, установленного пунктом 4.8 Договора (если такое нарушение привело к невыполнению Покупателем требований по локализации оборудования, установленных законодательством Российской Федерации к оборудованию, эксплуатируемому по итогам модернизации (реконструкции) или строительства генерирующих объектов тепловых электростанций </w:t>
        <w:br/>
        <w:t>в неценовых зонах оптового рынка), Покупатель вправе требовать уплаты Поставщиком  штрафа в размере 10 (десяти) процентов от стоимости Товара. Покупатель вправе удержать сумму такого штрафа из любого платежа, причитающегося Поставщику по Договору.</w:t>
      </w:r>
    </w:p>
    <w:p>
      <w:pPr>
        <w:pStyle w:val="Normal"/>
        <w:shd w:val="clear" w:color="auto" w:fill="FFFFFF"/>
        <w:jc w:val="both"/>
        <w:rPr>
          <w:sz w:val="24"/>
          <w:szCs w:val="24"/>
        </w:rPr>
      </w:pPr>
      <w:r>
        <w:rPr>
          <w:sz w:val="24"/>
          <w:szCs w:val="24"/>
        </w:rPr>
      </w:r>
    </w:p>
    <w:p>
      <w:pPr>
        <w:pStyle w:val="ListParagraph"/>
        <w:widowControl/>
        <w:numPr>
          <w:ilvl w:val="0"/>
          <w:numId w:val="0"/>
        </w:numPr>
        <w:shd w:val="clear" w:color="auto" w:fill="FFFFFF"/>
        <w:tabs>
          <w:tab w:val="clear" w:pos="709"/>
          <w:tab w:val="left" w:pos="0" w:leader="none"/>
        </w:tabs>
        <w:ind w:left="0" w:hanging="0"/>
        <w:jc w:val="center"/>
        <w:rPr>
          <w:b/>
          <w:bCs/>
          <w:sz w:val="24"/>
          <w:szCs w:val="24"/>
        </w:rPr>
      </w:pPr>
      <w:r>
        <w:rPr>
          <w:b/>
          <w:bCs/>
          <w:sz w:val="24"/>
          <w:szCs w:val="24"/>
        </w:rPr>
        <w:t>6. Конфиденциальность</w:t>
      </w:r>
    </w:p>
    <w:p>
      <w:pPr>
        <w:pStyle w:val="ListParagraph"/>
        <w:widowControl/>
        <w:numPr>
          <w:ilvl w:val="0"/>
          <w:numId w:val="0"/>
        </w:numPr>
        <w:shd w:val="clear" w:color="auto" w:fill="FFFFFF"/>
        <w:tabs>
          <w:tab w:val="clear" w:pos="709"/>
          <w:tab w:val="left" w:pos="0" w:leader="none"/>
          <w:tab w:val="left" w:pos="1134" w:leader="none"/>
        </w:tabs>
        <w:ind w:left="0" w:hanging="0"/>
        <w:jc w:val="both"/>
        <w:rPr/>
      </w:pPr>
      <w:r>
        <w:rPr>
          <w:bCs/>
          <w:sz w:val="24"/>
          <w:szCs w:val="24"/>
        </w:rPr>
        <w:t xml:space="preserve">         </w:t>
      </w:r>
      <w:r>
        <w:rPr>
          <w:bCs/>
          <w:sz w:val="24"/>
          <w:szCs w:val="24"/>
        </w:rPr>
        <w:t xml:space="preserve">6.1. 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w:t>
        <w:br/>
        <w:t>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left" w:pos="0" w:leader="none"/>
          <w:tab w:val="left" w:pos="709" w:leader="none"/>
          <w:tab w:val="left" w:pos="1418" w:leader="none"/>
        </w:tabs>
        <w:ind w:left="0" w:firstLine="709"/>
        <w:jc w:val="both"/>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left" w:pos="0" w:leader="none"/>
          <w:tab w:val="left" w:pos="709" w:leader="none"/>
          <w:tab w:val="left" w:pos="1418" w:leader="none"/>
        </w:tabs>
        <w:ind w:left="0" w:firstLine="709"/>
        <w:jc w:val="both"/>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0"/>
          <w:numId w:val="0"/>
        </w:numPr>
        <w:shd w:val="clear" w:color="auto" w:fill="FFFFFF"/>
        <w:tabs>
          <w:tab w:val="clear" w:pos="709"/>
          <w:tab w:val="left" w:pos="0" w:leader="none"/>
          <w:tab w:val="left" w:pos="1134" w:leader="none"/>
        </w:tabs>
        <w:ind w:left="0" w:hanging="0"/>
        <w:jc w:val="both"/>
        <w:rPr/>
      </w:pPr>
      <w:r>
        <w:rPr>
          <w:bCs/>
          <w:sz w:val="24"/>
          <w:szCs w:val="24"/>
        </w:rPr>
        <w:t xml:space="preserve">      </w:t>
      </w:r>
      <w:r>
        <w:rPr>
          <w:bCs/>
          <w:sz w:val="24"/>
          <w:szCs w:val="24"/>
        </w:rPr>
        <w:t xml:space="preserve">6.2. 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0"/>
          <w:numId w:val="0"/>
        </w:numPr>
        <w:shd w:val="clear" w:color="auto" w:fill="FFFFFF"/>
        <w:tabs>
          <w:tab w:val="clear" w:pos="709"/>
          <w:tab w:val="left" w:pos="0" w:leader="none"/>
          <w:tab w:val="left" w:pos="1134" w:leader="none"/>
        </w:tabs>
        <w:ind w:left="0" w:hanging="0"/>
        <w:jc w:val="both"/>
        <w:rPr/>
      </w:pPr>
      <w:r>
        <w:rPr>
          <w:bCs/>
          <w:sz w:val="24"/>
          <w:szCs w:val="24"/>
        </w:rPr>
        <w:t xml:space="preserve">             </w:t>
      </w:r>
      <w:r>
        <w:rPr>
          <w:bCs/>
          <w:sz w:val="24"/>
          <w:szCs w:val="24"/>
        </w:rPr>
        <w:t>6.3. 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0"/>
          <w:numId w:val="0"/>
        </w:numPr>
        <w:shd w:val="clear" w:color="auto" w:fill="FFFFFF"/>
        <w:tabs>
          <w:tab w:val="clear" w:pos="709"/>
          <w:tab w:val="left" w:pos="0" w:leader="none"/>
          <w:tab w:val="left" w:pos="1134" w:leader="none"/>
        </w:tabs>
        <w:ind w:left="0" w:hanging="0"/>
        <w:jc w:val="both"/>
        <w:rPr/>
      </w:pPr>
      <w:r>
        <w:rPr>
          <w:bCs/>
          <w:sz w:val="24"/>
          <w:szCs w:val="24"/>
        </w:rPr>
        <w:t xml:space="preserve">            </w:t>
      </w:r>
      <w:r>
        <w:rPr>
          <w:bCs/>
          <w:sz w:val="24"/>
          <w:szCs w:val="24"/>
        </w:rPr>
        <w:t>6.4. 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0"/>
          <w:numId w:val="0"/>
        </w:numPr>
        <w:shd w:val="clear" w:color="auto" w:fill="FFFFFF"/>
        <w:tabs>
          <w:tab w:val="clear" w:pos="709"/>
          <w:tab w:val="left" w:pos="0" w:leader="none"/>
          <w:tab w:val="left" w:pos="1134" w:leader="none"/>
        </w:tabs>
        <w:ind w:left="0" w:hanging="0"/>
        <w:jc w:val="both"/>
        <w:rPr/>
      </w:pPr>
      <w:r>
        <w:rPr>
          <w:bCs/>
          <w:sz w:val="24"/>
          <w:szCs w:val="24"/>
        </w:rPr>
        <w:t xml:space="preserve">            </w:t>
      </w:r>
      <w:r>
        <w:rPr>
          <w:bCs/>
          <w:sz w:val="24"/>
          <w:szCs w:val="24"/>
        </w:rPr>
        <w:t>6.5. Информация может включать в себя, в том числе, но не ограничиваясь:</w:t>
      </w:r>
    </w:p>
    <w:p>
      <w:pPr>
        <w:pStyle w:val="Normal"/>
        <w:widowControl/>
        <w:numPr>
          <w:ilvl w:val="0"/>
          <w:numId w:val="5"/>
        </w:numPr>
        <w:tabs>
          <w:tab w:val="clear" w:pos="709"/>
          <w:tab w:val="left" w:pos="0" w:leader="none"/>
          <w:tab w:val="left" w:pos="1418" w:leader="none"/>
        </w:tabs>
        <w:ind w:left="0" w:firstLine="709"/>
        <w:jc w:val="both"/>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9"/>
          <w:tab w:val="left" w:pos="0" w:leader="none"/>
          <w:tab w:val="left" w:pos="1418" w:leader="none"/>
        </w:tabs>
        <w:ind w:left="0" w:firstLine="709"/>
        <w:jc w:val="both"/>
        <w:rPr/>
      </w:pPr>
      <w:r>
        <w:rPr>
          <w:bCs/>
          <w:sz w:val="24"/>
          <w:szCs w:val="24"/>
        </w:rPr>
        <w:t>учетные регистры бухгалтерского учета;</w:t>
      </w:r>
    </w:p>
    <w:p>
      <w:pPr>
        <w:pStyle w:val="Normal"/>
        <w:widowControl/>
        <w:numPr>
          <w:ilvl w:val="0"/>
          <w:numId w:val="5"/>
        </w:numPr>
        <w:tabs>
          <w:tab w:val="clear" w:pos="709"/>
          <w:tab w:val="left" w:pos="0" w:leader="none"/>
          <w:tab w:val="left" w:pos="1418" w:leader="none"/>
        </w:tabs>
        <w:ind w:left="0" w:firstLine="709"/>
        <w:jc w:val="both"/>
        <w:rPr/>
      </w:pPr>
      <w:r>
        <w:rPr>
          <w:bCs/>
          <w:sz w:val="24"/>
          <w:szCs w:val="24"/>
        </w:rPr>
        <w:t>бизнес-планы;</w:t>
      </w:r>
    </w:p>
    <w:p>
      <w:pPr>
        <w:pStyle w:val="Normal"/>
        <w:widowControl/>
        <w:numPr>
          <w:ilvl w:val="0"/>
          <w:numId w:val="5"/>
        </w:numPr>
        <w:tabs>
          <w:tab w:val="clear" w:pos="709"/>
          <w:tab w:val="left" w:pos="0" w:leader="none"/>
          <w:tab w:val="left" w:pos="1418" w:leader="none"/>
        </w:tabs>
        <w:ind w:left="0" w:firstLine="709"/>
        <w:jc w:val="both"/>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9"/>
          <w:tab w:val="left" w:pos="0" w:leader="none"/>
          <w:tab w:val="left" w:pos="1418" w:leader="none"/>
        </w:tabs>
        <w:ind w:left="0" w:firstLine="709"/>
        <w:jc w:val="both"/>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9"/>
          <w:tab w:val="left" w:pos="0" w:leader="none"/>
          <w:tab w:val="left" w:pos="1418" w:leader="none"/>
        </w:tabs>
        <w:ind w:left="0" w:firstLine="709"/>
        <w:jc w:val="both"/>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9"/>
          <w:tab w:val="left" w:pos="0" w:leader="none"/>
          <w:tab w:val="left" w:pos="1418" w:leader="none"/>
        </w:tabs>
        <w:ind w:left="0" w:firstLine="709"/>
        <w:jc w:val="both"/>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9"/>
          <w:tab w:val="left" w:pos="0" w:leader="none"/>
          <w:tab w:val="left" w:pos="1418" w:leader="none"/>
        </w:tabs>
        <w:ind w:left="0" w:firstLine="709"/>
        <w:jc w:val="both"/>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9"/>
          <w:tab w:val="left" w:pos="0" w:leader="none"/>
          <w:tab w:val="left" w:pos="1418" w:leader="none"/>
        </w:tabs>
        <w:ind w:left="0" w:firstLine="709"/>
        <w:jc w:val="both"/>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0"/>
          <w:numId w:val="0"/>
        </w:numPr>
        <w:shd w:val="clear" w:color="auto" w:fill="FFFFFF"/>
        <w:tabs>
          <w:tab w:val="clear" w:pos="709"/>
          <w:tab w:val="left" w:pos="0" w:leader="none"/>
          <w:tab w:val="left" w:pos="1134" w:leader="none"/>
        </w:tabs>
        <w:ind w:left="0" w:hanging="0"/>
        <w:jc w:val="both"/>
        <w:rPr/>
      </w:pPr>
      <w:r>
        <w:rPr>
          <w:bCs/>
          <w:sz w:val="24"/>
          <w:szCs w:val="24"/>
        </w:rPr>
        <w:t xml:space="preserve">     </w:t>
      </w:r>
      <w:r>
        <w:rPr>
          <w:bCs/>
          <w:sz w:val="24"/>
          <w:szCs w:val="24"/>
        </w:rPr>
        <w:t xml:space="preserve">6.6. </w:t>
      </w:r>
      <w:bookmarkStart w:id="5"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5"/>
      <w:r>
        <w:rPr>
          <w:bCs/>
          <w:sz w:val="24"/>
          <w:szCs w:val="24"/>
        </w:rPr>
        <w:t xml:space="preserve"> </w:t>
      </w:r>
    </w:p>
    <w:p>
      <w:pPr>
        <w:pStyle w:val="ListParagraph"/>
        <w:widowControl/>
        <w:numPr>
          <w:ilvl w:val="0"/>
          <w:numId w:val="0"/>
        </w:numPr>
        <w:shd w:val="clear" w:color="auto" w:fill="FFFFFF"/>
        <w:tabs>
          <w:tab w:val="clear" w:pos="709"/>
          <w:tab w:val="left" w:pos="1418" w:leader="none"/>
        </w:tabs>
        <w:ind w:left="0" w:hanging="0"/>
        <w:jc w:val="both"/>
        <w:rPr/>
      </w:pPr>
      <w:r>
        <w:rPr>
          <w:bCs/>
          <w:sz w:val="24"/>
          <w:szCs w:val="24"/>
        </w:rPr>
        <w:t xml:space="preserve">      </w:t>
      </w:r>
      <w:r>
        <w:rPr>
          <w:bCs/>
          <w:sz w:val="24"/>
          <w:szCs w:val="24"/>
        </w:rPr>
        <w:t xml:space="preserve">6.6.1. 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0"/>
          <w:numId w:val="0"/>
        </w:numPr>
        <w:shd w:val="clear" w:color="auto" w:fill="FFFFFF"/>
        <w:tabs>
          <w:tab w:val="clear" w:pos="709"/>
          <w:tab w:val="left" w:pos="1418" w:leader="none"/>
        </w:tabs>
        <w:ind w:left="0" w:hanging="0"/>
        <w:jc w:val="both"/>
        <w:rPr/>
      </w:pPr>
      <w:r>
        <w:rPr>
          <w:bCs/>
          <w:sz w:val="24"/>
          <w:szCs w:val="24"/>
        </w:rPr>
        <w:t xml:space="preserve">             </w:t>
      </w:r>
      <w:r>
        <w:rPr>
          <w:bCs/>
          <w:sz w:val="24"/>
          <w:szCs w:val="24"/>
        </w:rPr>
        <w:t>6.6.2. 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Информации обычно используемые им меры защиты.</w:t>
      </w:r>
    </w:p>
    <w:p>
      <w:pPr>
        <w:pStyle w:val="ListParagraph"/>
        <w:widowControl/>
        <w:numPr>
          <w:ilvl w:val="0"/>
          <w:numId w:val="0"/>
        </w:numPr>
        <w:shd w:val="clear" w:color="auto" w:fill="FFFFFF"/>
        <w:tabs>
          <w:tab w:val="clear" w:pos="709"/>
          <w:tab w:val="left" w:pos="1418" w:leader="none"/>
        </w:tabs>
        <w:ind w:left="0" w:hanging="0"/>
        <w:jc w:val="both"/>
        <w:rPr/>
      </w:pPr>
      <w:r>
        <w:rPr>
          <w:bCs/>
          <w:sz w:val="24"/>
          <w:szCs w:val="24"/>
        </w:rPr>
        <w:t xml:space="preserve">             </w:t>
      </w:r>
      <w:r>
        <w:rPr>
          <w:bCs/>
          <w:sz w:val="24"/>
          <w:szCs w:val="24"/>
        </w:rPr>
        <w:t xml:space="preserve">6.6.3. Использовать Информацию исключительно для целей, для которых она была предоставлена. </w:t>
      </w:r>
    </w:p>
    <w:p>
      <w:pPr>
        <w:pStyle w:val="ListParagraph"/>
        <w:widowControl/>
        <w:numPr>
          <w:ilvl w:val="0"/>
          <w:numId w:val="0"/>
        </w:numPr>
        <w:shd w:val="clear" w:color="auto" w:fill="FFFFFF"/>
        <w:tabs>
          <w:tab w:val="clear" w:pos="709"/>
          <w:tab w:val="left" w:pos="1418" w:leader="none"/>
        </w:tabs>
        <w:ind w:left="0" w:hanging="0"/>
        <w:jc w:val="both"/>
        <w:rPr/>
      </w:pPr>
      <w:r>
        <w:rPr>
          <w:bCs/>
          <w:sz w:val="24"/>
          <w:szCs w:val="24"/>
        </w:rPr>
        <w:t xml:space="preserve">         </w:t>
      </w:r>
      <w:r>
        <w:rPr>
          <w:bCs/>
          <w:sz w:val="24"/>
          <w:szCs w:val="24"/>
        </w:rPr>
        <w:t xml:space="preserve">6.6.4. 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0"/>
          <w:numId w:val="0"/>
        </w:numPr>
        <w:shd w:val="clear" w:color="auto" w:fill="FFFFFF"/>
        <w:tabs>
          <w:tab w:val="clear" w:pos="709"/>
          <w:tab w:val="left" w:pos="1418" w:leader="none"/>
        </w:tabs>
        <w:ind w:left="0" w:hanging="0"/>
        <w:jc w:val="both"/>
        <w:rPr/>
      </w:pPr>
      <w:r>
        <w:rPr>
          <w:bCs/>
          <w:sz w:val="24"/>
          <w:szCs w:val="24"/>
        </w:rPr>
        <w:t xml:space="preserve">         </w:t>
      </w:r>
      <w:r>
        <w:rPr>
          <w:bCs/>
          <w:sz w:val="24"/>
          <w:szCs w:val="24"/>
        </w:rPr>
        <w:t>6.6.5.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0"/>
          <w:numId w:val="0"/>
        </w:numPr>
        <w:shd w:val="clear" w:color="auto" w:fill="FFFFFF"/>
        <w:tabs>
          <w:tab w:val="clear" w:pos="709"/>
          <w:tab w:val="left" w:pos="1418" w:leader="none"/>
        </w:tabs>
        <w:ind w:left="0" w:hanging="0"/>
        <w:jc w:val="both"/>
        <w:rPr/>
      </w:pPr>
      <w:r>
        <w:rPr>
          <w:bCs/>
          <w:sz w:val="24"/>
          <w:szCs w:val="24"/>
        </w:rPr>
        <w:t xml:space="preserve">      </w:t>
      </w:r>
      <w:r>
        <w:rPr>
          <w:bCs/>
          <w:sz w:val="24"/>
          <w:szCs w:val="24"/>
        </w:rPr>
        <w:t xml:space="preserve">6.6.6. 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0"/>
          <w:numId w:val="0"/>
        </w:numPr>
        <w:shd w:val="clear" w:color="auto" w:fill="FFFFFF"/>
        <w:tabs>
          <w:tab w:val="clear" w:pos="709"/>
          <w:tab w:val="left" w:pos="1418" w:leader="none"/>
        </w:tabs>
        <w:ind w:left="0" w:hanging="0"/>
        <w:jc w:val="both"/>
        <w:rPr/>
      </w:pPr>
      <w:r>
        <w:rPr>
          <w:bCs/>
          <w:sz w:val="24"/>
          <w:szCs w:val="24"/>
        </w:rPr>
        <w:t xml:space="preserve">     </w:t>
      </w:r>
      <w:r>
        <w:rPr>
          <w:bCs/>
          <w:sz w:val="24"/>
          <w:szCs w:val="24"/>
        </w:rPr>
        <w:t xml:space="preserve">6.6.7. </w:t>
      </w:r>
      <w:bookmarkStart w:id="6"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6"/>
    </w:p>
    <w:p>
      <w:pPr>
        <w:pStyle w:val="ListParagraph"/>
        <w:widowControl/>
        <w:numPr>
          <w:ilvl w:val="0"/>
          <w:numId w:val="0"/>
        </w:numPr>
        <w:shd w:val="clear" w:color="auto" w:fill="FFFFFF"/>
        <w:tabs>
          <w:tab w:val="clear" w:pos="709"/>
          <w:tab w:val="left" w:pos="1418" w:leader="none"/>
        </w:tabs>
        <w:ind w:left="0" w:hanging="0"/>
        <w:jc w:val="both"/>
        <w:rPr/>
      </w:pPr>
      <w:r>
        <w:rPr>
          <w:bCs/>
          <w:sz w:val="24"/>
          <w:szCs w:val="24"/>
        </w:rPr>
        <w:t xml:space="preserve">          </w:t>
      </w:r>
      <w:r>
        <w:rPr>
          <w:bCs/>
          <w:sz w:val="24"/>
          <w:szCs w:val="24"/>
        </w:rPr>
        <w:t>6.6.8. Не разглашать третьим лицам факты передачи или получения Информации.</w:t>
      </w:r>
    </w:p>
    <w:p>
      <w:pPr>
        <w:pStyle w:val="ListParagraph"/>
        <w:widowControl/>
        <w:numPr>
          <w:ilvl w:val="0"/>
          <w:numId w:val="0"/>
        </w:numPr>
        <w:shd w:val="clear" w:color="auto" w:fill="FFFFFF"/>
        <w:tabs>
          <w:tab w:val="clear" w:pos="709"/>
          <w:tab w:val="left" w:pos="1134" w:leader="none"/>
        </w:tabs>
        <w:ind w:left="0" w:hanging="0"/>
        <w:jc w:val="both"/>
        <w:rPr/>
      </w:pPr>
      <w:r>
        <w:rPr>
          <w:bCs/>
          <w:sz w:val="24"/>
          <w:szCs w:val="24"/>
        </w:rPr>
        <w:t xml:space="preserve">    </w:t>
      </w:r>
      <w:r>
        <w:rPr>
          <w:bCs/>
          <w:sz w:val="24"/>
          <w:szCs w:val="24"/>
        </w:rPr>
        <w:t xml:space="preserve">6.7. </w:t>
      </w:r>
      <w:bookmarkStart w:id="7" w:name="_Ref361337863"/>
      <w:r>
        <w:rPr>
          <w:bCs/>
          <w:sz w:val="24"/>
          <w:szCs w:val="24"/>
        </w:rPr>
        <w:t>Поставщик, нарушивший условия настоящего раздела Договора, возмещает Покупателю убытки, вызванные таким нарушением, в течение 10 (десяти) календарных дней с даты получения соответствующего письменного требования Покупателя.</w:t>
      </w:r>
      <w:bookmarkEnd w:id="7"/>
    </w:p>
    <w:p>
      <w:pPr>
        <w:pStyle w:val="Normal"/>
        <w:numPr>
          <w:ilvl w:val="0"/>
          <w:numId w:val="0"/>
        </w:numPr>
        <w:shd w:val="clear" w:color="auto" w:fill="FFFFFF"/>
        <w:tabs>
          <w:tab w:val="clear" w:pos="709"/>
        </w:tabs>
        <w:ind w:left="0" w:hanging="0"/>
        <w:jc w:val="both"/>
        <w:rPr>
          <w:bCs/>
          <w:sz w:val="24"/>
          <w:szCs w:val="24"/>
        </w:rPr>
      </w:pPr>
      <w:r>
        <w:rPr>
          <w:bCs/>
          <w:sz w:val="24"/>
          <w:szCs w:val="24"/>
        </w:rPr>
        <w:t xml:space="preserve">        </w:t>
      </w:r>
      <w:r>
        <w:rPr>
          <w:bCs/>
          <w:sz w:val="24"/>
          <w:szCs w:val="24"/>
        </w:rPr>
        <w:t xml:space="preserve">6.8. 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ListParagraph"/>
        <w:widowControl/>
        <w:shd w:val="clear" w:color="auto" w:fill="FFFFFF"/>
        <w:tabs>
          <w:tab w:val="clear" w:pos="709"/>
          <w:tab w:val="left" w:pos="1134" w:leader="none"/>
        </w:tabs>
        <w:ind w:left="709" w:hanging="0"/>
        <w:jc w:val="both"/>
        <w:rPr>
          <w:sz w:val="24"/>
          <w:szCs w:val="24"/>
        </w:rPr>
      </w:pPr>
      <w:r>
        <w:rPr>
          <w:sz w:val="24"/>
          <w:szCs w:val="24"/>
        </w:rPr>
      </w:r>
    </w:p>
    <w:p>
      <w:pPr>
        <w:pStyle w:val="ListParagraph"/>
        <w:widowControl/>
        <w:numPr>
          <w:ilvl w:val="0"/>
          <w:numId w:val="0"/>
        </w:numPr>
        <w:shd w:val="clear" w:color="auto" w:fill="FFFFFF"/>
        <w:ind w:left="0" w:hanging="0"/>
        <w:jc w:val="center"/>
        <w:rPr>
          <w:b/>
          <w:bCs/>
          <w:sz w:val="24"/>
          <w:szCs w:val="24"/>
        </w:rPr>
      </w:pPr>
      <w:r>
        <w:rPr>
          <w:b/>
          <w:bCs/>
          <w:sz w:val="24"/>
          <w:szCs w:val="24"/>
        </w:rPr>
        <w:t>7. Разрешение споров</w:t>
      </w:r>
    </w:p>
    <w:p>
      <w:pPr>
        <w:pStyle w:val="ListParagraph"/>
        <w:widowControl/>
        <w:numPr>
          <w:ilvl w:val="0"/>
          <w:numId w:val="0"/>
        </w:numPr>
        <w:shd w:val="clear" w:color="auto" w:fill="FFFFFF"/>
        <w:tabs>
          <w:tab w:val="clear" w:pos="709"/>
          <w:tab w:val="left" w:pos="0" w:leader="none"/>
          <w:tab w:val="left" w:pos="1418" w:leader="none"/>
        </w:tabs>
        <w:ind w:left="0" w:hanging="0"/>
        <w:jc w:val="both"/>
        <w:rPr>
          <w:bCs/>
          <w:sz w:val="24"/>
          <w:szCs w:val="24"/>
        </w:rPr>
      </w:pPr>
      <w:r>
        <w:rPr>
          <w:bCs/>
          <w:sz w:val="24"/>
          <w:szCs w:val="24"/>
        </w:rPr>
        <w:t xml:space="preserve">   </w:t>
      </w:r>
      <w:r>
        <w:rPr>
          <w:bCs/>
          <w:sz w:val="24"/>
          <w:szCs w:val="24"/>
        </w:rPr>
        <w:t xml:space="preserve">7.1. 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0"/>
          <w:numId w:val="0"/>
        </w:numPr>
        <w:shd w:val="clear" w:color="auto" w:fill="FFFFFF"/>
        <w:tabs>
          <w:tab w:val="clear" w:pos="709"/>
          <w:tab w:val="left" w:pos="0" w:leader="none"/>
        </w:tabs>
        <w:ind w:left="0" w:hanging="0"/>
        <w:jc w:val="both"/>
        <w:rPr>
          <w:bCs/>
          <w:sz w:val="24"/>
          <w:szCs w:val="24"/>
        </w:rPr>
      </w:pPr>
      <w:r>
        <w:rPr>
          <w:bCs/>
          <w:sz w:val="24"/>
          <w:szCs w:val="24"/>
        </w:rPr>
        <w:t xml:space="preserve">     </w:t>
      </w:r>
      <w:r>
        <w:rPr>
          <w:bCs/>
          <w:sz w:val="24"/>
          <w:szCs w:val="24"/>
        </w:rPr>
        <w:t xml:space="preserve">7.2. Споры, указанные в пункте 7.1 Договора, которые не были урегулированы Сторонами путем переговоров, подлежат разрешению в Арбитражном суде </w:t>
      </w:r>
      <w:r>
        <w:rPr>
          <w:bCs/>
          <w:sz w:val="24"/>
          <w:szCs w:val="24"/>
          <w:highlight w:val="lightGray"/>
          <w:shd w:fill="auto" w:val="clear"/>
        </w:rPr>
        <w:t>Пермского края</w:t>
      </w:r>
      <w:r>
        <w:rPr>
          <w:bCs/>
          <w:sz w:val="24"/>
          <w:szCs w:val="24"/>
        </w:rPr>
        <w:t xml:space="preserve"> в соответствии с законодательством Российской Федерации.</w:t>
      </w:r>
    </w:p>
    <w:p>
      <w:pPr>
        <w:pStyle w:val="ListParagraph"/>
        <w:widowControl/>
        <w:numPr>
          <w:ilvl w:val="0"/>
          <w:numId w:val="0"/>
        </w:numPr>
        <w:shd w:val="clear" w:color="auto" w:fill="FFFFFF"/>
        <w:tabs>
          <w:tab w:val="clear" w:pos="709"/>
          <w:tab w:val="left" w:pos="0" w:leader="none"/>
          <w:tab w:val="left" w:pos="1418" w:leader="none"/>
        </w:tabs>
        <w:ind w:left="0" w:hanging="0"/>
        <w:jc w:val="both"/>
        <w:rPr>
          <w:bCs/>
          <w:sz w:val="24"/>
          <w:szCs w:val="24"/>
        </w:rPr>
      </w:pPr>
      <w:r>
        <w:rPr>
          <w:bCs/>
          <w:sz w:val="24"/>
          <w:szCs w:val="24"/>
        </w:rPr>
        <w:t xml:space="preserve">     </w:t>
      </w:r>
      <w:r>
        <w:rPr>
          <w:bCs/>
          <w:sz w:val="24"/>
          <w:szCs w:val="24"/>
        </w:rPr>
        <w:t xml:space="preserve">7.3.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Pr>
          <w:bCs/>
          <w:sz w:val="24"/>
          <w:szCs w:val="24"/>
          <w:highlight w:val="lightGray"/>
        </w:rPr>
        <w:t>13.8</w:t>
      </w:r>
      <w:r>
        <w:rPr>
          <w:bCs/>
          <w:sz w:val="24"/>
          <w:szCs w:val="24"/>
        </w:rPr>
        <w:t xml:space="preserve"> Договора.</w:t>
      </w:r>
    </w:p>
    <w:p>
      <w:pPr>
        <w:pStyle w:val="ListParagraph"/>
        <w:widowControl/>
        <w:numPr>
          <w:ilvl w:val="0"/>
          <w:numId w:val="0"/>
        </w:numPr>
        <w:shd w:val="clear" w:color="auto" w:fill="FFFFFF"/>
        <w:tabs>
          <w:tab w:val="clear" w:pos="709"/>
          <w:tab w:val="left" w:pos="0" w:leader="none"/>
          <w:tab w:val="left" w:pos="1418" w:leader="none"/>
        </w:tabs>
        <w:ind w:left="0" w:hanging="0"/>
        <w:jc w:val="both"/>
        <w:rPr>
          <w:bCs/>
          <w:sz w:val="24"/>
          <w:szCs w:val="24"/>
        </w:rPr>
      </w:pPr>
      <w:r>
        <w:rPr>
          <w:bCs/>
          <w:sz w:val="24"/>
          <w:szCs w:val="24"/>
        </w:rPr>
        <w:t xml:space="preserve">     </w:t>
      </w:r>
      <w:r>
        <w:rPr>
          <w:bCs/>
          <w:sz w:val="24"/>
          <w:szCs w:val="24"/>
        </w:rPr>
        <w:t xml:space="preserve">7.4. 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0"/>
          <w:numId w:val="0"/>
        </w:numPr>
        <w:shd w:val="clear" w:color="auto" w:fill="FFFFFF"/>
        <w:tabs>
          <w:tab w:val="clear" w:pos="709"/>
          <w:tab w:val="left" w:pos="0" w:leader="none"/>
          <w:tab w:val="left" w:pos="1418" w:leader="none"/>
        </w:tabs>
        <w:ind w:left="0" w:hanging="0"/>
        <w:jc w:val="both"/>
        <w:rPr>
          <w:bCs/>
          <w:sz w:val="24"/>
          <w:szCs w:val="24"/>
        </w:rPr>
      </w:pPr>
      <w:r>
        <w:rPr>
          <w:bCs/>
          <w:sz w:val="24"/>
          <w:szCs w:val="24"/>
        </w:rPr>
        <w:t xml:space="preserve">         </w:t>
      </w:r>
      <w:r>
        <w:rPr>
          <w:bCs/>
          <w:sz w:val="24"/>
          <w:szCs w:val="24"/>
        </w:rPr>
        <w:t>7.5. Условия настоящего раздела Договора сохраняют свою силу в случае признания Договора незаключенным и / или недействительным.</w:t>
      </w:r>
    </w:p>
    <w:p>
      <w:pPr>
        <w:pStyle w:val="Normal"/>
        <w:shd w:val="clear" w:color="auto" w:fill="FFFFFF"/>
        <w:jc w:val="both"/>
        <w:rPr>
          <w:bCs/>
          <w:sz w:val="24"/>
          <w:szCs w:val="24"/>
        </w:rPr>
      </w:pPr>
      <w:r>
        <w:rPr>
          <w:bCs/>
          <w:sz w:val="24"/>
          <w:szCs w:val="24"/>
        </w:rPr>
      </w:r>
    </w:p>
    <w:p>
      <w:pPr>
        <w:pStyle w:val="ListParagraph"/>
        <w:widowControl/>
        <w:numPr>
          <w:ilvl w:val="0"/>
          <w:numId w:val="0"/>
        </w:numPr>
        <w:shd w:val="clear" w:color="auto" w:fill="FFFFFF"/>
        <w:ind w:left="0" w:hanging="0"/>
        <w:jc w:val="center"/>
        <w:rPr>
          <w:b/>
          <w:bCs/>
          <w:sz w:val="24"/>
          <w:szCs w:val="24"/>
        </w:rPr>
      </w:pPr>
      <w:r>
        <w:rPr>
          <w:b/>
          <w:bCs/>
          <w:sz w:val="24"/>
          <w:szCs w:val="24"/>
        </w:rPr>
        <w:t>8. Антикоррупционная оговорка</w:t>
      </w:r>
    </w:p>
    <w:p>
      <w:pPr>
        <w:pStyle w:val="ListParagraph"/>
        <w:numPr>
          <w:ilvl w:val="0"/>
          <w:numId w:val="0"/>
        </w:numPr>
        <w:shd w:val="clear" w:color="auto" w:fill="FFFFFF"/>
        <w:tabs>
          <w:tab w:val="clear" w:pos="709"/>
          <w:tab w:val="left" w:pos="1134" w:leader="none"/>
        </w:tabs>
        <w:ind w:left="0" w:hanging="0"/>
        <w:jc w:val="both"/>
        <w:rPr>
          <w:bCs/>
          <w:color w:val="000000"/>
          <w:sz w:val="24"/>
          <w:szCs w:val="24"/>
        </w:rPr>
      </w:pPr>
      <w:r>
        <w:rPr>
          <w:color w:val="000000"/>
          <w:sz w:val="24"/>
          <w:szCs w:val="24"/>
        </w:rPr>
        <w:t xml:space="preserve">        </w:t>
      </w:r>
      <w:r>
        <w:rPr>
          <w:color w:val="000000"/>
          <w:sz w:val="24"/>
          <w:szCs w:val="24"/>
        </w:rPr>
        <w:t xml:space="preserve">8.1.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w:t>
        <w:br/>
        <w:t>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w:t>
        <w:br/>
        <w:t>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8.3. В случае возникновения у любой Стороны обоснованных предположений, что </w:t>
        <w:br/>
        <w:t xml:space="preserve">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w:t>
        <w:br/>
        <w:t>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не позднее </w:t>
        <w:br/>
        <w:t>5 (пяти) рабочих дней с даты получения письменного уведомления.</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w:t>
        <w:br/>
        <w:t xml:space="preserve">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w:t>
        <w:br/>
        <w:t xml:space="preserve">не позднее 5 (пяти) календарных дней до даты прекращения действия Договора. </w:t>
      </w:r>
    </w:p>
    <w:p>
      <w:pPr>
        <w:pStyle w:val="Normal"/>
        <w:shd w:val="clear" w:color="auto" w:fill="FFFFFF"/>
        <w:tabs>
          <w:tab w:val="clear" w:pos="709"/>
          <w:tab w:val="left" w:pos="567" w:leader="none"/>
          <w:tab w:val="left" w:pos="1134" w:leader="none"/>
        </w:tabs>
        <w:ind w:firstLine="709"/>
        <w:jc w:val="both"/>
        <w:rPr>
          <w:color w:val="000000"/>
          <w:sz w:val="24"/>
          <w:szCs w:val="24"/>
        </w:rPr>
      </w:pPr>
      <w:r>
        <w:rPr>
          <w:color w:val="000000"/>
          <w:sz w:val="24"/>
          <w:szCs w:val="24"/>
        </w:rPr>
        <w:t xml:space="preserve">8.7. Каналы связи Линии доверия Группы РусГидро: </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8.7.1. Электронная почта: ld@rushydro.ru.</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 xml:space="preserve">8.7.2. Специальная форма «обратной связи», размещенная на официальном сайте </w:t>
        <w:br/>
        <w:t>ПАО «РусГидро»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9"/>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0"/>
        </w:numPr>
        <w:shd w:val="clear" w:color="auto" w:fill="FFFFFF"/>
        <w:ind w:left="0" w:hanging="0"/>
        <w:jc w:val="center"/>
        <w:rPr>
          <w:b/>
          <w:bCs/>
          <w:sz w:val="24"/>
          <w:szCs w:val="24"/>
        </w:rPr>
      </w:pPr>
      <w:r>
        <w:rPr>
          <w:b/>
          <w:bCs/>
          <w:sz w:val="24"/>
          <w:szCs w:val="24"/>
        </w:rPr>
        <w:t>9.Обстоятельства непреодолимой силы (форс-мажор)</w:t>
      </w:r>
    </w:p>
    <w:p>
      <w:pPr>
        <w:pStyle w:val="ListParagraph"/>
        <w:widowControl/>
        <w:numPr>
          <w:ilvl w:val="0"/>
          <w:numId w:val="0"/>
        </w:numPr>
        <w:shd w:val="clear" w:color="auto" w:fill="FFFFFF"/>
        <w:tabs>
          <w:tab w:val="clear" w:pos="709"/>
          <w:tab w:val="left" w:pos="0" w:leader="none"/>
          <w:tab w:val="left" w:pos="1418" w:leader="none"/>
        </w:tabs>
        <w:ind w:left="0" w:hanging="0"/>
        <w:jc w:val="both"/>
        <w:rPr>
          <w:bCs/>
          <w:sz w:val="24"/>
          <w:szCs w:val="24"/>
        </w:rPr>
      </w:pPr>
      <w:r>
        <w:rPr>
          <w:bCs/>
          <w:sz w:val="24"/>
          <w:szCs w:val="24"/>
        </w:rPr>
        <w:t xml:space="preserve">           </w:t>
      </w:r>
      <w:r>
        <w:rPr>
          <w:bCs/>
          <w:sz w:val="24"/>
          <w:szCs w:val="24"/>
        </w:rPr>
        <w:t>9.1. 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0"/>
          <w:numId w:val="0"/>
        </w:numPr>
        <w:shd w:val="clear" w:color="auto" w:fill="FFFFFF"/>
        <w:tabs>
          <w:tab w:val="clear" w:pos="709"/>
          <w:tab w:val="left" w:pos="0" w:leader="none"/>
          <w:tab w:val="left" w:pos="1418" w:leader="none"/>
        </w:tabs>
        <w:ind w:left="0" w:hanging="0"/>
        <w:jc w:val="both"/>
        <w:rPr>
          <w:bCs/>
          <w:sz w:val="24"/>
          <w:szCs w:val="24"/>
        </w:rPr>
      </w:pPr>
      <w:r>
        <w:rPr>
          <w:bCs/>
          <w:sz w:val="24"/>
          <w:szCs w:val="24"/>
        </w:rPr>
        <w:t xml:space="preserve">         </w:t>
      </w:r>
      <w:r>
        <w:rPr>
          <w:bCs/>
          <w:sz w:val="24"/>
          <w:szCs w:val="24"/>
        </w:rPr>
        <w:t xml:space="preserve">9.2. 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0"/>
          <w:numId w:val="0"/>
        </w:numPr>
        <w:shd w:val="clear" w:color="auto" w:fill="FFFFFF"/>
        <w:tabs>
          <w:tab w:val="clear" w:pos="709"/>
          <w:tab w:val="left" w:pos="0" w:leader="none"/>
          <w:tab w:val="left" w:pos="1418" w:leader="none"/>
        </w:tabs>
        <w:ind w:left="0" w:hanging="0"/>
        <w:jc w:val="both"/>
        <w:rPr>
          <w:bCs/>
          <w:sz w:val="24"/>
          <w:szCs w:val="24"/>
        </w:rPr>
      </w:pPr>
      <w:r>
        <w:rPr>
          <w:bCs/>
          <w:sz w:val="24"/>
          <w:szCs w:val="24"/>
        </w:rPr>
        <w:t xml:space="preserve">       </w:t>
      </w:r>
      <w:r>
        <w:rPr>
          <w:bCs/>
          <w:sz w:val="24"/>
          <w:szCs w:val="24"/>
        </w:rPr>
        <w:t xml:space="preserve">9.3. 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0"/>
          <w:numId w:val="0"/>
        </w:numPr>
        <w:shd w:val="clear" w:color="auto" w:fill="FFFFFF"/>
        <w:tabs>
          <w:tab w:val="clear" w:pos="709"/>
          <w:tab w:val="left" w:pos="0" w:leader="none"/>
          <w:tab w:val="left" w:pos="1418" w:leader="none"/>
        </w:tabs>
        <w:ind w:left="0" w:hanging="0"/>
        <w:jc w:val="both"/>
        <w:rPr>
          <w:bCs/>
          <w:sz w:val="24"/>
          <w:szCs w:val="24"/>
        </w:rPr>
      </w:pPr>
      <w:r>
        <w:rPr>
          <w:sz w:val="24"/>
          <w:szCs w:val="24"/>
        </w:rPr>
        <w:t xml:space="preserve">    </w:t>
      </w:r>
      <w:r>
        <w:rPr>
          <w:sz w:val="24"/>
          <w:szCs w:val="24"/>
        </w:rPr>
        <w:t xml:space="preserve">9.4. Надлежащим (достаточным) доказательством наличия / возникновения </w:t>
        <w:br/>
        <w:t xml:space="preserve">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w:t>
        <w:br/>
        <w:t>на которые заинтересованная Сторона ссылается в качестве обстоятельств непреодолимой силы (форс-мажора).</w:t>
      </w:r>
    </w:p>
    <w:p>
      <w:pPr>
        <w:pStyle w:val="ListParagraph"/>
        <w:widowControl/>
        <w:numPr>
          <w:ilvl w:val="0"/>
          <w:numId w:val="0"/>
        </w:numPr>
        <w:shd w:val="clear" w:color="auto" w:fill="FFFFFF"/>
        <w:tabs>
          <w:tab w:val="clear" w:pos="709"/>
          <w:tab w:val="left" w:pos="0" w:leader="none"/>
          <w:tab w:val="left" w:pos="1418" w:leader="none"/>
        </w:tabs>
        <w:ind w:left="0" w:hanging="0"/>
        <w:jc w:val="both"/>
        <w:rPr>
          <w:bCs/>
          <w:sz w:val="24"/>
          <w:szCs w:val="24"/>
        </w:rPr>
      </w:pPr>
      <w:r>
        <w:rPr>
          <w:bCs/>
          <w:sz w:val="24"/>
          <w:szCs w:val="24"/>
        </w:rPr>
        <w:t xml:space="preserve">  </w:t>
      </w:r>
      <w:r>
        <w:rPr>
          <w:bCs/>
          <w:sz w:val="24"/>
          <w:szCs w:val="24"/>
        </w:rPr>
        <w:t xml:space="preserve">9.5. 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0"/>
          <w:numId w:val="0"/>
        </w:numPr>
        <w:shd w:val="clear" w:color="auto" w:fill="FFFFFF"/>
        <w:tabs>
          <w:tab w:val="clear" w:pos="709"/>
          <w:tab w:val="left" w:pos="0" w:leader="none"/>
          <w:tab w:val="left" w:pos="568" w:leader="none"/>
          <w:tab w:val="left" w:pos="1418" w:leader="none"/>
        </w:tabs>
        <w:ind w:left="0" w:hanging="0"/>
        <w:jc w:val="both"/>
        <w:rPr>
          <w:bCs/>
          <w:sz w:val="24"/>
          <w:szCs w:val="24"/>
        </w:rPr>
      </w:pPr>
      <w:r>
        <w:rPr>
          <w:bCs/>
          <w:sz w:val="24"/>
          <w:szCs w:val="24"/>
        </w:rPr>
        <w:t xml:space="preserve">           </w:t>
      </w:r>
      <w:r>
        <w:rPr>
          <w:bCs/>
          <w:sz w:val="24"/>
          <w:szCs w:val="24"/>
        </w:rPr>
        <w:t>9.6. 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0"/>
        </w:numPr>
        <w:shd w:val="clear" w:color="auto" w:fill="FFFFFF"/>
        <w:spacing w:lineRule="auto" w:line="259" w:before="0" w:after="0"/>
        <w:ind w:left="360" w:hanging="0"/>
        <w:contextualSpacing/>
        <w:jc w:val="center"/>
        <w:rPr>
          <w:b/>
          <w:bCs/>
          <w:sz w:val="24"/>
          <w:szCs w:val="24"/>
        </w:rPr>
      </w:pPr>
      <w:r>
        <w:rPr>
          <w:b/>
          <w:bCs/>
          <w:sz w:val="24"/>
          <w:szCs w:val="24"/>
        </w:rPr>
        <w:t>10. Особые положения</w:t>
      </w:r>
    </w:p>
    <w:p>
      <w:pPr>
        <w:pStyle w:val="ListParagraph"/>
        <w:widowControl/>
        <w:numPr>
          <w:ilvl w:val="0"/>
          <w:numId w:val="0"/>
        </w:numPr>
        <w:shd w:val="clear" w:color="auto" w:fill="FFFFFF"/>
        <w:tabs>
          <w:tab w:val="clear" w:pos="709"/>
          <w:tab w:val="left" w:pos="1418" w:leader="none"/>
        </w:tabs>
        <w:ind w:left="0" w:hanging="0"/>
        <w:jc w:val="both"/>
        <w:rPr>
          <w:bCs/>
          <w:sz w:val="24"/>
          <w:szCs w:val="24"/>
        </w:rPr>
      </w:pPr>
      <w:r>
        <w:rPr>
          <w:bCs/>
          <w:sz w:val="24"/>
          <w:szCs w:val="24"/>
        </w:rPr>
        <w:t xml:space="preserve">       </w:t>
      </w:r>
      <w:r>
        <w:rPr>
          <w:bCs/>
          <w:sz w:val="24"/>
          <w:szCs w:val="24"/>
        </w:rPr>
        <w:t xml:space="preserve">10.1. 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sz w:val="24"/>
            <w:szCs w:val="24"/>
          </w:rPr>
          <w:t>№ 18162/09</w:t>
        </w:r>
      </w:hyperlink>
      <w:r>
        <w:rPr>
          <w:bCs/>
          <w:sz w:val="24"/>
          <w:szCs w:val="24"/>
        </w:rPr>
        <w:t xml:space="preserve"> и от 25.05.2010 </w:t>
      </w:r>
      <w:hyperlink r:id="rId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w:t>
        <w:br/>
        <w:t xml:space="preserve">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bCs/>
            <w:sz w:val="24"/>
            <w:szCs w:val="24"/>
          </w:rPr>
          <w:t>Критери</w:t>
        </w:r>
      </w:hyperlink>
      <w:r>
        <w:rPr>
          <w:bCs/>
          <w:sz w:val="24"/>
          <w:szCs w:val="24"/>
        </w:rPr>
        <w:t>ям самостоятельной оценки рисков налогоплательщиков, используемым налоговыми органами в процессе отбора объектов для проведения выездных налоговых проверок (утв. приказом ФНС России от 30.05.2007 № ММ-3-06/333).</w:t>
      </w:r>
    </w:p>
    <w:p>
      <w:pPr>
        <w:pStyle w:val="ListParagraph"/>
        <w:widowControl/>
        <w:numPr>
          <w:ilvl w:val="0"/>
          <w:numId w:val="0"/>
        </w:numPr>
        <w:shd w:val="clear" w:color="auto" w:fill="FFFFFF"/>
        <w:tabs>
          <w:tab w:val="clear" w:pos="709"/>
          <w:tab w:val="left" w:pos="1418" w:leader="none"/>
        </w:tabs>
        <w:ind w:left="0" w:hanging="0"/>
        <w:jc w:val="both"/>
        <w:rPr>
          <w:bCs/>
          <w:sz w:val="24"/>
          <w:szCs w:val="24"/>
        </w:rPr>
      </w:pPr>
      <w:r>
        <w:rPr>
          <w:bCs/>
          <w:sz w:val="24"/>
          <w:szCs w:val="24"/>
        </w:rPr>
        <w:t xml:space="preserve">    </w:t>
      </w:r>
      <w:r>
        <w:rPr>
          <w:bCs/>
          <w:sz w:val="24"/>
          <w:szCs w:val="24"/>
        </w:rPr>
        <w:t xml:space="preserve">10.2. Поставщик обязуется незамедлительно уведомить Покупателя о появлении </w:t>
        <w:br/>
        <w:t>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0"/>
          <w:numId w:val="0"/>
        </w:numPr>
        <w:shd w:val="clear" w:color="auto" w:fill="FFFFFF"/>
        <w:tabs>
          <w:tab w:val="clear" w:pos="709"/>
          <w:tab w:val="left" w:pos="1418" w:leader="none"/>
        </w:tabs>
        <w:ind w:left="0" w:hanging="0"/>
        <w:jc w:val="both"/>
        <w:rPr>
          <w:bCs/>
          <w:sz w:val="24"/>
          <w:szCs w:val="24"/>
        </w:rPr>
      </w:pPr>
      <w:r>
        <w:rPr>
          <w:bCs/>
          <w:sz w:val="24"/>
          <w:szCs w:val="24"/>
        </w:rPr>
        <w:t xml:space="preserve">       </w:t>
      </w:r>
      <w:r>
        <w:rPr>
          <w:bCs/>
          <w:sz w:val="24"/>
          <w:szCs w:val="24"/>
        </w:rPr>
        <w:t xml:space="preserve">10.3. 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w:t>
        <w:br/>
        <w:t>до наступления указанной Покупателем даты расторжения.</w:t>
      </w:r>
    </w:p>
    <w:p>
      <w:pPr>
        <w:pStyle w:val="ListParagraph"/>
        <w:widowControl/>
        <w:numPr>
          <w:ilvl w:val="0"/>
          <w:numId w:val="0"/>
        </w:numPr>
        <w:shd w:val="clear" w:color="auto" w:fill="FFFFFF"/>
        <w:tabs>
          <w:tab w:val="clear" w:pos="709"/>
          <w:tab w:val="left" w:pos="1418" w:leader="none"/>
        </w:tabs>
        <w:ind w:left="0" w:hanging="0"/>
        <w:jc w:val="both"/>
        <w:rPr>
          <w:bCs/>
          <w:sz w:val="24"/>
          <w:szCs w:val="24"/>
        </w:rPr>
      </w:pPr>
      <w:r>
        <w:rPr>
          <w:bCs/>
          <w:sz w:val="24"/>
          <w:szCs w:val="24"/>
        </w:rPr>
        <w:t xml:space="preserve">       </w:t>
      </w:r>
      <w:r>
        <w:rPr>
          <w:bCs/>
          <w:sz w:val="24"/>
          <w:szCs w:val="24"/>
        </w:rPr>
        <w:t>10.4. 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0"/>
          <w:numId w:val="0"/>
        </w:numPr>
        <w:shd w:val="clear" w:color="auto" w:fill="FFFFFF"/>
        <w:tabs>
          <w:tab w:val="clear" w:pos="709"/>
          <w:tab w:val="left" w:pos="1418" w:leader="none"/>
        </w:tabs>
        <w:ind w:left="0" w:hanging="0"/>
        <w:jc w:val="both"/>
        <w:rPr>
          <w:bCs/>
          <w:sz w:val="24"/>
          <w:szCs w:val="24"/>
        </w:rPr>
      </w:pPr>
      <w:r>
        <w:rPr>
          <w:bCs/>
          <w:sz w:val="24"/>
          <w:szCs w:val="24"/>
        </w:rPr>
        <w:t xml:space="preserve">           </w:t>
      </w:r>
      <w:r>
        <w:rPr>
          <w:bCs/>
          <w:sz w:val="24"/>
          <w:szCs w:val="24"/>
        </w:rPr>
        <w:t>10.5. 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0"/>
          <w:numId w:val="0"/>
        </w:numPr>
        <w:shd w:val="clear" w:color="auto" w:fill="FFFFFF"/>
        <w:tabs>
          <w:tab w:val="clear" w:pos="709"/>
          <w:tab w:val="left" w:pos="1418" w:leader="none"/>
        </w:tabs>
        <w:ind w:left="0" w:hanging="0"/>
        <w:jc w:val="both"/>
        <w:rPr>
          <w:bCs/>
          <w:sz w:val="24"/>
          <w:szCs w:val="24"/>
        </w:rPr>
      </w:pPr>
      <w:r>
        <w:rPr>
          <w:bCs/>
          <w:sz w:val="24"/>
          <w:szCs w:val="24"/>
        </w:rPr>
        <w:t xml:space="preserve">   </w:t>
      </w:r>
      <w:r>
        <w:rPr>
          <w:bCs/>
          <w:sz w:val="24"/>
          <w:szCs w:val="24"/>
        </w:rPr>
        <w:t xml:space="preserve">10.6. Покупатель вправе приостановить осуществление любых платежей </w:t>
        <w:br/>
        <w:t>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0"/>
          <w:numId w:val="0"/>
        </w:numPr>
        <w:shd w:val="clear" w:color="auto" w:fill="FFFFFF"/>
        <w:tabs>
          <w:tab w:val="clear" w:pos="709"/>
          <w:tab w:val="left" w:pos="1418" w:leader="none"/>
        </w:tabs>
        <w:ind w:left="0" w:hanging="0"/>
        <w:jc w:val="both"/>
        <w:rPr>
          <w:bCs/>
          <w:sz w:val="24"/>
          <w:szCs w:val="24"/>
        </w:rPr>
      </w:pPr>
      <w:r>
        <w:rPr>
          <w:bCs/>
          <w:sz w:val="24"/>
          <w:szCs w:val="24"/>
        </w:rPr>
        <w:t xml:space="preserve">      </w:t>
      </w:r>
      <w:r>
        <w:rPr>
          <w:bCs/>
          <w:sz w:val="24"/>
          <w:szCs w:val="24"/>
        </w:rPr>
        <w:t>10.7. 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jc w:val="both"/>
        <w:rPr>
          <w:sz w:val="24"/>
          <w:szCs w:val="24"/>
        </w:rPr>
      </w:pPr>
      <w:r>
        <w:rPr>
          <w:sz w:val="24"/>
          <w:szCs w:val="24"/>
        </w:rPr>
      </w:r>
    </w:p>
    <w:p>
      <w:pPr>
        <w:pStyle w:val="ListParagraph"/>
        <w:widowControl/>
        <w:numPr>
          <w:ilvl w:val="0"/>
          <w:numId w:val="0"/>
        </w:numPr>
        <w:shd w:val="clear" w:color="auto" w:fill="FFFFFF"/>
        <w:tabs>
          <w:tab w:val="clear" w:pos="709"/>
          <w:tab w:val="left" w:pos="426" w:leader="none"/>
        </w:tabs>
        <w:ind w:left="0" w:hanging="0"/>
        <w:jc w:val="center"/>
        <w:rPr>
          <w:b/>
          <w:sz w:val="24"/>
          <w:szCs w:val="24"/>
        </w:rPr>
      </w:pPr>
      <w:r>
        <w:rPr>
          <w:b/>
          <w:bCs/>
          <w:sz w:val="24"/>
          <w:szCs w:val="24"/>
        </w:rPr>
        <w:t>11. Заверения</w:t>
      </w:r>
      <w:r>
        <w:rPr>
          <w:b/>
          <w:sz w:val="24"/>
          <w:szCs w:val="24"/>
        </w:rPr>
        <w:t xml:space="preserve"> Сторон</w:t>
      </w:r>
    </w:p>
    <w:p>
      <w:pPr>
        <w:pStyle w:val="ListParagraph"/>
        <w:widowControl/>
        <w:numPr>
          <w:ilvl w:val="0"/>
          <w:numId w:val="0"/>
        </w:numPr>
        <w:shd w:val="clear" w:color="auto" w:fill="FFFFFF"/>
        <w:tabs>
          <w:tab w:val="clear" w:pos="709"/>
          <w:tab w:val="left" w:pos="1134" w:leader="none"/>
          <w:tab w:val="left" w:pos="1418" w:leader="none"/>
        </w:tabs>
        <w:ind w:left="0" w:hanging="0"/>
        <w:jc w:val="both"/>
        <w:rPr>
          <w:sz w:val="24"/>
          <w:szCs w:val="24"/>
        </w:rPr>
      </w:pPr>
      <w:r>
        <w:rPr>
          <w:bCs/>
          <w:sz w:val="24"/>
          <w:szCs w:val="24"/>
        </w:rPr>
        <w:t xml:space="preserve">            </w:t>
      </w:r>
      <w:r>
        <w:rPr>
          <w:bCs/>
          <w:sz w:val="24"/>
          <w:szCs w:val="24"/>
        </w:rPr>
        <w:t>11.1. Каждая</w:t>
      </w:r>
      <w:r>
        <w:rPr>
          <w:sz w:val="24"/>
          <w:szCs w:val="24"/>
        </w:rPr>
        <w:t xml:space="preserve"> из Сторон заявляет и подтверждает другой Стороне, что: </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0"/>
          <w:numId w:val="0"/>
        </w:numPr>
        <w:shd w:val="clear" w:color="auto" w:fill="FFFFFF"/>
        <w:tabs>
          <w:tab w:val="clear" w:pos="709"/>
          <w:tab w:val="left" w:pos="1418" w:leader="none"/>
        </w:tabs>
        <w:ind w:left="0" w:hanging="0"/>
        <w:jc w:val="both"/>
        <w:rPr>
          <w:sz w:val="24"/>
          <w:szCs w:val="24"/>
        </w:rPr>
      </w:pPr>
      <w:r>
        <w:rPr>
          <w:sz w:val="24"/>
          <w:szCs w:val="24"/>
        </w:rPr>
        <w:t xml:space="preserve">        </w:t>
      </w:r>
      <w:r>
        <w:rPr>
          <w:sz w:val="24"/>
          <w:szCs w:val="24"/>
        </w:rPr>
        <w:t>11.2. Поставщик заявляет и заверяет Покупателя в том, что на момент заключения Договора:</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 xml:space="preserve">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w:t>
        <w:br/>
        <w:t>и трудности исполнения обязательств, возникающих из Договора или в связи с ним;</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0"/>
          <w:numId w:val="0"/>
        </w:numPr>
        <w:tabs>
          <w:tab w:val="clear" w:pos="709"/>
          <w:tab w:val="left" w:pos="1418" w:leader="none"/>
        </w:tabs>
        <w:ind w:left="0" w:hanging="0"/>
        <w:jc w:val="both"/>
        <w:rPr>
          <w:sz w:val="24"/>
          <w:szCs w:val="24"/>
        </w:rPr>
      </w:pPr>
      <w:r>
        <w:rPr>
          <w:sz w:val="24"/>
          <w:szCs w:val="24"/>
        </w:rPr>
        <w:t xml:space="preserve">    </w:t>
      </w:r>
      <w:r>
        <w:rPr>
          <w:sz w:val="24"/>
          <w:szCs w:val="24"/>
        </w:rPr>
        <w:t xml:space="preserve">11.3. 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0"/>
          <w:numId w:val="0"/>
        </w:numPr>
        <w:shd w:val="clear" w:color="auto" w:fill="FFFFFF"/>
        <w:tabs>
          <w:tab w:val="clear" w:pos="709"/>
          <w:tab w:val="left" w:pos="1418" w:leader="none"/>
        </w:tabs>
        <w:ind w:left="0" w:hanging="0"/>
        <w:jc w:val="both"/>
        <w:rPr>
          <w:sz w:val="24"/>
          <w:szCs w:val="24"/>
        </w:rPr>
      </w:pPr>
      <w:r>
        <w:rPr>
          <w:sz w:val="24"/>
          <w:szCs w:val="24"/>
        </w:rPr>
        <w:t xml:space="preserve">         </w:t>
      </w:r>
      <w:r>
        <w:rPr>
          <w:sz w:val="24"/>
          <w:szCs w:val="24"/>
        </w:rPr>
        <w:t xml:space="preserve">11.4. 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по письменному требованию Покупателя уплатить последнему штраф </w:t>
        <w:br/>
        <w:t>в размере 5 (пяти) процентов от Цены Договора, указанной в пункте 2.1 Договора.</w:t>
      </w:r>
    </w:p>
    <w:p>
      <w:pPr>
        <w:pStyle w:val="ListParagraph"/>
        <w:widowControl/>
        <w:numPr>
          <w:ilvl w:val="0"/>
          <w:numId w:val="0"/>
        </w:numPr>
        <w:shd w:val="clear" w:color="auto" w:fill="FFFFFF"/>
        <w:tabs>
          <w:tab w:val="clear" w:pos="709"/>
          <w:tab w:val="left" w:pos="1418" w:leader="none"/>
        </w:tabs>
        <w:ind w:left="0" w:hanging="0"/>
        <w:jc w:val="both"/>
        <w:rPr>
          <w:sz w:val="24"/>
          <w:szCs w:val="24"/>
        </w:rPr>
      </w:pPr>
      <w:r>
        <w:rPr>
          <w:sz w:val="24"/>
          <w:szCs w:val="24"/>
        </w:rPr>
        <w:t xml:space="preserve">       </w:t>
      </w:r>
      <w:r>
        <w:rPr>
          <w:sz w:val="24"/>
          <w:szCs w:val="24"/>
        </w:rPr>
        <w:t xml:space="preserve">11.5. 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w:t>
        <w:br/>
        <w:t>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9"/>
          <w:tab w:val="left" w:pos="1134" w:leader="none"/>
          <w:tab w:val="left" w:pos="1418" w:leader="none"/>
        </w:tabs>
        <w:ind w:left="709" w:hanging="0"/>
        <w:jc w:val="both"/>
        <w:rPr>
          <w:sz w:val="24"/>
          <w:szCs w:val="24"/>
        </w:rPr>
      </w:pPr>
      <w:r>
        <w:rPr>
          <w:sz w:val="24"/>
          <w:szCs w:val="24"/>
        </w:rPr>
      </w:r>
    </w:p>
    <w:p>
      <w:pPr>
        <w:pStyle w:val="ListParagraph"/>
        <w:widowControl/>
        <w:numPr>
          <w:ilvl w:val="0"/>
          <w:numId w:val="0"/>
        </w:numPr>
        <w:shd w:val="clear" w:color="auto" w:fill="FFFFFF"/>
        <w:ind w:left="0" w:hanging="0"/>
        <w:jc w:val="center"/>
        <w:rPr>
          <w:b/>
          <w:sz w:val="24"/>
          <w:szCs w:val="24"/>
        </w:rPr>
      </w:pPr>
      <w:r>
        <w:rPr>
          <w:b/>
          <w:bCs/>
          <w:sz w:val="24"/>
          <w:szCs w:val="24"/>
        </w:rPr>
        <w:t>12. П</w:t>
      </w:r>
      <w:r>
        <w:rPr>
          <w:b/>
          <w:sz w:val="24"/>
          <w:szCs w:val="24"/>
        </w:rPr>
        <w:t>рекращение (расторжение) Договора</w:t>
      </w:r>
    </w:p>
    <w:p>
      <w:pPr>
        <w:pStyle w:val="ListParagraph"/>
        <w:widowControl/>
        <w:numPr>
          <w:ilvl w:val="0"/>
          <w:numId w:val="0"/>
        </w:numPr>
        <w:shd w:val="clear" w:color="auto" w:fill="FFFFFF"/>
        <w:tabs>
          <w:tab w:val="clear" w:pos="709"/>
          <w:tab w:val="left" w:pos="1418" w:leader="none"/>
        </w:tabs>
        <w:ind w:left="0" w:hanging="0"/>
        <w:jc w:val="both"/>
        <w:rPr>
          <w:sz w:val="24"/>
          <w:szCs w:val="24"/>
        </w:rPr>
      </w:pPr>
      <w:r>
        <w:rPr>
          <w:sz w:val="24"/>
          <w:szCs w:val="24"/>
        </w:rPr>
        <w:t xml:space="preserve">          </w:t>
      </w:r>
      <w:r>
        <w:rPr>
          <w:sz w:val="24"/>
          <w:szCs w:val="24"/>
        </w:rPr>
        <w:t xml:space="preserve">12.1. 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Pr>
          <w:sz w:val="24"/>
          <w:szCs w:val="24"/>
          <w:highlight w:val="lightGray"/>
        </w:rPr>
        <w:t>13.8</w:t>
      </w:r>
      <w:r>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0"/>
          <w:numId w:val="0"/>
        </w:numPr>
        <w:shd w:val="clear" w:color="auto" w:fill="FFFFFF"/>
        <w:tabs>
          <w:tab w:val="clear" w:pos="709"/>
          <w:tab w:val="left" w:pos="1418" w:leader="none"/>
        </w:tabs>
        <w:ind w:left="0" w:hanging="0"/>
        <w:jc w:val="both"/>
        <w:rPr>
          <w:sz w:val="24"/>
          <w:szCs w:val="24"/>
        </w:rPr>
      </w:pPr>
      <w:r>
        <w:rPr>
          <w:sz w:val="24"/>
          <w:szCs w:val="24"/>
        </w:rPr>
        <w:t xml:space="preserve">          </w:t>
      </w:r>
      <w:r>
        <w:rPr>
          <w:sz w:val="24"/>
          <w:szCs w:val="24"/>
        </w:rPr>
        <w:t xml:space="preserve">12.2. 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9"/>
          <w:tab w:val="left" w:pos="0" w:leader="none"/>
          <w:tab w:val="left" w:pos="1418" w:leader="none"/>
        </w:tabs>
        <w:ind w:left="0" w:firstLine="709"/>
        <w:jc w:val="both"/>
        <w:rPr>
          <w:sz w:val="24"/>
          <w:szCs w:val="24"/>
        </w:rPr>
      </w:pPr>
      <w:r>
        <w:rPr>
          <w:sz w:val="24"/>
          <w:szCs w:val="24"/>
        </w:rPr>
        <w:t xml:space="preserve">Покупатель одновременно с уведомлением об отказе от Договора (исполнения Договора) направляет Поставщику письменное требование о возмещении убытков </w:t>
        <w:br/>
        <w:t>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0"/>
          <w:numId w:val="0"/>
        </w:numPr>
        <w:shd w:val="clear" w:color="auto" w:fill="FFFFFF"/>
        <w:tabs>
          <w:tab w:val="clear" w:pos="709"/>
          <w:tab w:val="left" w:pos="1418" w:leader="none"/>
        </w:tabs>
        <w:ind w:left="0" w:hanging="0"/>
        <w:jc w:val="both"/>
        <w:rPr>
          <w:sz w:val="24"/>
          <w:szCs w:val="24"/>
        </w:rPr>
      </w:pPr>
      <w:r>
        <w:rPr>
          <w:sz w:val="24"/>
          <w:szCs w:val="24"/>
        </w:rPr>
        <w:t xml:space="preserve">       </w:t>
      </w:r>
      <w:r>
        <w:rPr>
          <w:sz w:val="24"/>
          <w:szCs w:val="24"/>
        </w:rPr>
        <w:t>12.3. Стороны установили, что существенным нарушением Договора Поставщиком является:</w:t>
      </w:r>
    </w:p>
    <w:p>
      <w:pPr>
        <w:pStyle w:val="ListParagraph"/>
        <w:widowControl/>
        <w:numPr>
          <w:ilvl w:val="0"/>
          <w:numId w:val="6"/>
        </w:numPr>
        <w:tabs>
          <w:tab w:val="clear" w:pos="709"/>
          <w:tab w:val="left" w:pos="0" w:leader="none"/>
          <w:tab w:val="left" w:pos="1418" w:leader="none"/>
        </w:tabs>
        <w:ind w:left="0" w:right="23" w:firstLine="709"/>
        <w:jc w:val="both"/>
        <w:rPr>
          <w:sz w:val="24"/>
          <w:szCs w:val="24"/>
        </w:rPr>
      </w:pPr>
      <w:r>
        <w:rPr>
          <w:sz w:val="24"/>
          <w:szCs w:val="24"/>
        </w:rPr>
        <w:t xml:space="preserve">нарушение Поставщиком общего срока поставки Товара по Договору, а также промежуточных сроков поставки Товара, установленных Договором, более чем </w:t>
        <w:br/>
        <w:t>на 60 (шестьдесят) календарных дней по причинам, не зависящим от Покупателя;</w:t>
      </w:r>
    </w:p>
    <w:p>
      <w:pPr>
        <w:pStyle w:val="ListParagraph"/>
        <w:widowControl/>
        <w:numPr>
          <w:ilvl w:val="0"/>
          <w:numId w:val="6"/>
        </w:numPr>
        <w:tabs>
          <w:tab w:val="clear" w:pos="709"/>
          <w:tab w:val="left" w:pos="0" w:leader="none"/>
          <w:tab w:val="left" w:pos="1418" w:leader="none"/>
        </w:tabs>
        <w:ind w:left="0" w:right="23"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9"/>
          <w:tab w:val="left" w:pos="0" w:leader="none"/>
          <w:tab w:val="left" w:pos="1418" w:leader="none"/>
        </w:tabs>
        <w:ind w:left="0" w:right="23"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9"/>
          <w:tab w:val="left" w:pos="0" w:leader="none"/>
          <w:tab w:val="left" w:pos="1418" w:leader="none"/>
        </w:tabs>
        <w:ind w:left="0" w:right="23"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0"/>
          <w:numId w:val="0"/>
        </w:numPr>
        <w:shd w:val="clear" w:color="auto" w:fill="FFFFFF"/>
        <w:tabs>
          <w:tab w:val="clear" w:pos="709"/>
          <w:tab w:val="left" w:pos="1418" w:leader="none"/>
        </w:tabs>
        <w:ind w:left="0" w:hanging="0"/>
        <w:jc w:val="both"/>
        <w:rPr>
          <w:sz w:val="24"/>
          <w:szCs w:val="24"/>
        </w:rPr>
      </w:pPr>
      <w:r>
        <w:rPr>
          <w:sz w:val="24"/>
          <w:szCs w:val="24"/>
        </w:rPr>
        <w:t xml:space="preserve">            </w:t>
      </w:r>
      <w:r>
        <w:rPr>
          <w:sz w:val="24"/>
          <w:szCs w:val="24"/>
        </w:rPr>
        <w:t xml:space="preserve">12.4. 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w:t>
        <w:br/>
        <w:t xml:space="preserve">от Договора (исполнения Договора). </w:t>
      </w:r>
    </w:p>
    <w:p>
      <w:pPr>
        <w:pStyle w:val="ListParagraph"/>
        <w:widowControl/>
        <w:numPr>
          <w:ilvl w:val="0"/>
          <w:numId w:val="0"/>
        </w:numPr>
        <w:shd w:val="clear" w:color="auto" w:fill="FFFFFF"/>
        <w:tabs>
          <w:tab w:val="clear" w:pos="709"/>
          <w:tab w:val="left" w:pos="1418" w:leader="none"/>
        </w:tabs>
        <w:ind w:left="0" w:hanging="0"/>
        <w:jc w:val="both"/>
        <w:rPr>
          <w:sz w:val="24"/>
          <w:szCs w:val="24"/>
        </w:rPr>
      </w:pPr>
      <w:r>
        <w:rPr>
          <w:sz w:val="24"/>
          <w:szCs w:val="24"/>
        </w:rPr>
        <w:t xml:space="preserve">      </w:t>
      </w:r>
      <w:r>
        <w:rPr>
          <w:sz w:val="24"/>
          <w:szCs w:val="24"/>
        </w:rPr>
        <w:t>12.5. С даты прекращения (расторжения) Договора Поставщик обязан прекратить поставку Товара.</w:t>
      </w:r>
    </w:p>
    <w:p>
      <w:pPr>
        <w:pStyle w:val="ListParagraph"/>
        <w:widowControl/>
        <w:numPr>
          <w:ilvl w:val="0"/>
          <w:numId w:val="0"/>
        </w:numPr>
        <w:shd w:val="clear" w:color="auto" w:fill="FFFFFF"/>
        <w:tabs>
          <w:tab w:val="clear" w:pos="709"/>
          <w:tab w:val="left" w:pos="1418" w:leader="none"/>
        </w:tabs>
        <w:ind w:left="0" w:hanging="0"/>
        <w:jc w:val="both"/>
        <w:rPr>
          <w:sz w:val="24"/>
          <w:szCs w:val="24"/>
        </w:rPr>
      </w:pPr>
      <w:r>
        <w:rPr>
          <w:sz w:val="24"/>
          <w:szCs w:val="24"/>
        </w:rPr>
        <w:t xml:space="preserve">    </w:t>
      </w:r>
      <w:r>
        <w:rPr>
          <w:sz w:val="24"/>
          <w:szCs w:val="24"/>
        </w:rPr>
        <w:t xml:space="preserve">12.6. 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9"/>
          <w:tab w:val="left" w:pos="0" w:leader="none"/>
        </w:tabs>
        <w:ind w:left="709" w:hanging="0"/>
        <w:jc w:val="both"/>
        <w:rPr>
          <w:bCs/>
          <w:sz w:val="24"/>
          <w:szCs w:val="24"/>
        </w:rPr>
      </w:pPr>
      <w:r>
        <w:rPr>
          <w:bCs/>
          <w:sz w:val="24"/>
          <w:szCs w:val="24"/>
        </w:rPr>
      </w:r>
    </w:p>
    <w:p>
      <w:pPr>
        <w:pStyle w:val="ListParagraph"/>
        <w:widowControl/>
        <w:numPr>
          <w:ilvl w:val="0"/>
          <w:numId w:val="0"/>
        </w:numPr>
        <w:shd w:val="clear" w:color="auto" w:fill="FFFFFF"/>
        <w:ind w:left="0" w:hanging="0"/>
        <w:jc w:val="center"/>
        <w:rPr>
          <w:b/>
          <w:bCs/>
          <w:sz w:val="24"/>
          <w:szCs w:val="24"/>
        </w:rPr>
      </w:pPr>
      <w:r>
        <w:rPr>
          <w:b/>
          <w:bCs/>
          <w:sz w:val="24"/>
          <w:szCs w:val="24"/>
        </w:rPr>
        <w:t>13. Заключительные положения</w:t>
      </w:r>
    </w:p>
    <w:p>
      <w:pPr>
        <w:pStyle w:val="ListParagraph"/>
        <w:widowControl/>
        <w:numPr>
          <w:ilvl w:val="0"/>
          <w:numId w:val="0"/>
        </w:numPr>
        <w:shd w:val="clear" w:color="auto" w:fill="FFFFFF"/>
        <w:tabs>
          <w:tab w:val="clear" w:pos="709"/>
          <w:tab w:val="left" w:pos="142" w:leader="none"/>
          <w:tab w:val="left" w:pos="1418" w:leader="none"/>
        </w:tabs>
        <w:ind w:left="0" w:hanging="0"/>
        <w:jc w:val="both"/>
        <w:rPr>
          <w:sz w:val="24"/>
          <w:szCs w:val="24"/>
        </w:rPr>
      </w:pPr>
      <w:r>
        <w:rPr>
          <w:sz w:val="24"/>
          <w:szCs w:val="24"/>
        </w:rPr>
        <w:t xml:space="preserve">      </w:t>
      </w:r>
      <w:r>
        <w:rPr>
          <w:sz w:val="24"/>
          <w:szCs w:val="24"/>
        </w:rPr>
        <w:t xml:space="preserve">13.1. 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0"/>
          <w:numId w:val="0"/>
        </w:numPr>
        <w:tabs>
          <w:tab w:val="clear" w:pos="709"/>
          <w:tab w:val="left" w:pos="142" w:leader="none"/>
          <w:tab w:val="left" w:pos="1418" w:leader="none"/>
        </w:tabs>
        <w:snapToGrid w:val="false"/>
        <w:ind w:left="0" w:hanging="0"/>
        <w:jc w:val="both"/>
        <w:rPr>
          <w:sz w:val="24"/>
          <w:szCs w:val="24"/>
          <w:highlight w:val="lightGray"/>
          <w:lang w:eastAsia="en-US"/>
        </w:rPr>
      </w:pPr>
      <w:r>
        <w:rPr>
          <w:sz w:val="24"/>
          <w:szCs w:val="24"/>
          <w:highlight w:val="lightGray"/>
          <w:lang w:eastAsia="en-US"/>
        </w:rPr>
        <w:t xml:space="preserve">      </w:t>
      </w:r>
      <w:r>
        <w:rPr>
          <w:sz w:val="24"/>
          <w:szCs w:val="24"/>
          <w:highlight w:val="lightGray"/>
          <w:lang w:eastAsia="en-US"/>
        </w:rPr>
        <w:t xml:space="preserve">13.2. 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9"/>
          <w:tab w:val="left" w:pos="142" w:leader="none"/>
        </w:tabs>
        <w:ind w:firstLine="709"/>
        <w:jc w:val="both"/>
        <w:rPr>
          <w:sz w:val="24"/>
          <w:szCs w:val="24"/>
          <w:lang w:eastAsia="en-US"/>
        </w:rPr>
      </w:pPr>
      <w:r>
        <w:rPr>
          <w:sz w:val="24"/>
          <w:szCs w:val="24"/>
          <w:highlight w:val="lightGray"/>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sz w:val="24"/>
          <w:szCs w:val="24"/>
          <w:highlight w:val="lightGray"/>
          <w:lang w:eastAsia="en-US"/>
        </w:rPr>
        <w:footnoteReference w:id="5"/>
      </w:r>
      <w:r>
        <w:rPr>
          <w:sz w:val="24"/>
          <w:szCs w:val="24"/>
          <w:highlight w:val="lightGray"/>
          <w:lang w:eastAsia="en-US"/>
        </w:rPr>
        <w:t>.</w:t>
      </w:r>
    </w:p>
    <w:p>
      <w:pPr>
        <w:pStyle w:val="ListParagraph"/>
        <w:widowControl/>
        <w:numPr>
          <w:ilvl w:val="0"/>
          <w:numId w:val="0"/>
        </w:numPr>
        <w:shd w:val="clear" w:color="auto" w:fill="FFFFFF"/>
        <w:tabs>
          <w:tab w:val="clear" w:pos="709"/>
          <w:tab w:val="left" w:pos="0" w:leader="none"/>
          <w:tab w:val="left" w:pos="1418" w:leader="none"/>
        </w:tabs>
        <w:ind w:left="0" w:hanging="0"/>
        <w:jc w:val="both"/>
        <w:rPr>
          <w:sz w:val="24"/>
          <w:szCs w:val="24"/>
        </w:rPr>
      </w:pPr>
      <w:r>
        <w:rPr>
          <w:sz w:val="24"/>
          <w:szCs w:val="24"/>
        </w:rPr>
        <w:t xml:space="preserve">         </w:t>
      </w:r>
      <w:r>
        <w:rPr>
          <w:sz w:val="24"/>
          <w:szCs w:val="24"/>
        </w:rPr>
        <w:t xml:space="preserve">13.3. 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r>
        <w:rPr>
          <w:sz w:val="24"/>
          <w:szCs w:val="24"/>
          <w:highlight w:val="lightGray"/>
        </w:rPr>
        <w:t>13.7</w:t>
      </w:r>
      <w:r>
        <w:rPr>
          <w:sz w:val="24"/>
          <w:szCs w:val="24"/>
        </w:rPr>
        <w:t xml:space="preserve"> Договора. </w:t>
      </w:r>
    </w:p>
    <w:p>
      <w:pPr>
        <w:pStyle w:val="ListParagraph"/>
        <w:widowControl/>
        <w:numPr>
          <w:ilvl w:val="0"/>
          <w:numId w:val="0"/>
        </w:numPr>
        <w:shd w:val="clear" w:color="auto" w:fill="FFFFFF"/>
        <w:tabs>
          <w:tab w:val="clear" w:pos="709"/>
          <w:tab w:val="left" w:pos="0" w:leader="none"/>
          <w:tab w:val="left" w:pos="1418" w:leader="none"/>
        </w:tabs>
        <w:ind w:left="0" w:hanging="0"/>
        <w:jc w:val="both"/>
        <w:rPr>
          <w:sz w:val="24"/>
          <w:szCs w:val="24"/>
        </w:rPr>
      </w:pPr>
      <w:r>
        <w:rPr>
          <w:sz w:val="24"/>
          <w:szCs w:val="24"/>
        </w:rPr>
        <w:t xml:space="preserve">     </w:t>
      </w:r>
      <w:r>
        <w:rPr>
          <w:sz w:val="24"/>
          <w:szCs w:val="24"/>
        </w:rPr>
        <w:t>13.4. 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0"/>
          <w:numId w:val="0"/>
        </w:numPr>
        <w:shd w:val="clear" w:color="auto" w:fill="FFFFFF"/>
        <w:tabs>
          <w:tab w:val="clear" w:pos="709"/>
          <w:tab w:val="left" w:pos="0" w:leader="none"/>
          <w:tab w:val="left" w:pos="1418" w:leader="none"/>
        </w:tabs>
        <w:ind w:left="0" w:hanging="0"/>
        <w:jc w:val="both"/>
        <w:rPr>
          <w:sz w:val="24"/>
          <w:szCs w:val="24"/>
        </w:rPr>
      </w:pPr>
      <w:r>
        <w:rPr>
          <w:sz w:val="24"/>
          <w:szCs w:val="24"/>
        </w:rPr>
        <w:t xml:space="preserve">     </w:t>
      </w:r>
      <w:r>
        <w:rPr>
          <w:sz w:val="24"/>
          <w:szCs w:val="24"/>
        </w:rPr>
        <w:t xml:space="preserve">13.5. 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0"/>
          <w:numId w:val="0"/>
        </w:numPr>
        <w:shd w:val="clear" w:color="auto" w:fill="FFFFFF"/>
        <w:tabs>
          <w:tab w:val="clear" w:pos="709"/>
          <w:tab w:val="left" w:pos="0" w:leader="none"/>
          <w:tab w:val="left" w:pos="1418" w:leader="none"/>
        </w:tabs>
        <w:ind w:left="0" w:hanging="0"/>
        <w:jc w:val="both"/>
        <w:rPr>
          <w:sz w:val="24"/>
          <w:szCs w:val="24"/>
        </w:rPr>
      </w:pPr>
      <w:r>
        <w:rPr>
          <w:sz w:val="24"/>
          <w:szCs w:val="24"/>
        </w:rPr>
        <w:t xml:space="preserve">      </w:t>
      </w:r>
      <w:r>
        <w:rPr>
          <w:sz w:val="24"/>
          <w:szCs w:val="24"/>
        </w:rPr>
        <w:t xml:space="preserve">13.6. 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 xml:space="preserve">в письменной форме в порядке, предусмотренном пунктом </w:t>
      </w:r>
      <w:r>
        <w:rPr>
          <w:sz w:val="24"/>
          <w:szCs w:val="24"/>
          <w:highlight w:val="lightGray"/>
        </w:rPr>
        <w:t>13.8</w:t>
      </w:r>
      <w:r>
        <w:rPr>
          <w:sz w:val="24"/>
          <w:szCs w:val="24"/>
        </w:rPr>
        <w:t xml:space="preserve"> Договора. </w:t>
      </w:r>
    </w:p>
    <w:p>
      <w:pPr>
        <w:pStyle w:val="ListParagraph"/>
        <w:widowControl/>
        <w:numPr>
          <w:ilvl w:val="0"/>
          <w:numId w:val="0"/>
        </w:numPr>
        <w:shd w:val="clear" w:color="auto" w:fill="FFFFFF"/>
        <w:tabs>
          <w:tab w:val="clear" w:pos="709"/>
          <w:tab w:val="left" w:pos="0" w:leader="none"/>
          <w:tab w:val="left" w:pos="1418" w:leader="none"/>
        </w:tabs>
        <w:ind w:left="0" w:hanging="0"/>
        <w:jc w:val="both"/>
        <w:rPr>
          <w:sz w:val="24"/>
          <w:szCs w:val="24"/>
        </w:rPr>
      </w:pPr>
      <w:r>
        <w:rPr>
          <w:sz w:val="24"/>
          <w:szCs w:val="24"/>
        </w:rPr>
        <w:t xml:space="preserve">      </w:t>
      </w:r>
      <w:r>
        <w:rPr>
          <w:sz w:val="24"/>
          <w:szCs w:val="24"/>
        </w:rPr>
        <w:t xml:space="preserve">13.7. </w:t>
      </w:r>
      <w:bookmarkStart w:id="8" w:name="_Ref361338004"/>
      <w:r>
        <w:rPr>
          <w:sz w:val="24"/>
          <w:szCs w:val="24"/>
        </w:rPr>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w:t>
      </w:r>
      <w:r>
        <w:rPr>
          <w:sz w:val="24"/>
          <w:szCs w:val="24"/>
          <w:highlight w:val="lightGray"/>
        </w:rPr>
        <w:t>13.8</w:t>
      </w:r>
      <w:r>
        <w:rPr>
          <w:sz w:val="24"/>
          <w:szCs w:val="24"/>
        </w:rPr>
        <w:t xml:space="preserve"> Договора.</w:t>
      </w:r>
      <w:bookmarkEnd w:id="8"/>
      <w:r>
        <w:rPr>
          <w:sz w:val="24"/>
          <w:szCs w:val="24"/>
        </w:rPr>
        <w:t xml:space="preserve"> </w:t>
      </w:r>
    </w:p>
    <w:p>
      <w:pPr>
        <w:pStyle w:val="ListParagraph"/>
        <w:widowControl/>
        <w:numPr>
          <w:ilvl w:val="0"/>
          <w:numId w:val="0"/>
        </w:numPr>
        <w:shd w:val="clear" w:color="auto" w:fill="FFFFFF"/>
        <w:tabs>
          <w:tab w:val="clear" w:pos="709"/>
          <w:tab w:val="left" w:pos="0" w:leader="none"/>
          <w:tab w:val="left" w:pos="1418" w:leader="none"/>
        </w:tabs>
        <w:ind w:left="0" w:hanging="0"/>
        <w:jc w:val="both"/>
        <w:rPr>
          <w:sz w:val="24"/>
          <w:szCs w:val="24"/>
        </w:rPr>
      </w:pPr>
      <w:r>
        <w:rPr>
          <w:sz w:val="24"/>
          <w:szCs w:val="24"/>
        </w:rPr>
        <w:t xml:space="preserve">            </w:t>
      </w:r>
      <w:r>
        <w:rPr>
          <w:sz w:val="24"/>
          <w:szCs w:val="24"/>
        </w:rPr>
        <w:t>13.8. 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0"/>
          <w:numId w:val="0"/>
        </w:numPr>
        <w:ind w:left="0" w:hanging="0"/>
        <w:jc w:val="both"/>
        <w:rPr>
          <w:sz w:val="24"/>
          <w:szCs w:val="24"/>
        </w:rPr>
      </w:pPr>
      <w:r>
        <w:rPr>
          <w:bCs/>
          <w:sz w:val="24"/>
          <w:szCs w:val="24"/>
        </w:rPr>
        <w:t xml:space="preserve">      </w:t>
      </w:r>
      <w:r>
        <w:rPr>
          <w:bCs/>
          <w:sz w:val="24"/>
          <w:szCs w:val="24"/>
        </w:rPr>
        <w:t xml:space="preserve">13.8.1. 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0"/>
          <w:numId w:val="0"/>
        </w:numPr>
        <w:ind w:left="0" w:hanging="0"/>
        <w:jc w:val="both"/>
        <w:rPr>
          <w:sz w:val="24"/>
          <w:szCs w:val="24"/>
        </w:rPr>
      </w:pPr>
      <w:r>
        <w:rPr>
          <w:bCs/>
          <w:sz w:val="24"/>
          <w:szCs w:val="24"/>
        </w:rPr>
        <w:t xml:space="preserve">     </w:t>
      </w:r>
      <w:r>
        <w:rPr>
          <w:bCs/>
          <w:sz w:val="24"/>
          <w:szCs w:val="24"/>
        </w:rPr>
        <w:t>13.8.2. 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0"/>
          <w:numId w:val="0"/>
        </w:numPr>
        <w:ind w:left="0" w:hanging="0"/>
        <w:jc w:val="both"/>
        <w:rPr>
          <w:bCs/>
          <w:sz w:val="24"/>
          <w:szCs w:val="24"/>
        </w:rPr>
      </w:pPr>
      <w:r>
        <w:rPr>
          <w:bCs/>
          <w:sz w:val="24"/>
          <w:szCs w:val="24"/>
        </w:rPr>
        <w:t xml:space="preserve">        </w:t>
      </w:r>
      <w:r>
        <w:rPr>
          <w:bCs/>
          <w:sz w:val="24"/>
          <w:szCs w:val="24"/>
        </w:rPr>
        <w:t>13.8.3. 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sz w:val="24"/>
          <w:szCs w:val="24"/>
          <w:highlight w:val="lightGray"/>
        </w:rPr>
        <w:t>13.8.1 – 13.8.2</w:t>
      </w:r>
      <w:r>
        <w:rPr>
          <w:bCs/>
          <w:sz w:val="24"/>
          <w:szCs w:val="24"/>
        </w:rPr>
        <w:t xml:space="preserve"> Договора. </w:t>
      </w:r>
    </w:p>
    <w:p>
      <w:pPr>
        <w:pStyle w:val="Normal"/>
        <w:widowControl/>
        <w:numPr>
          <w:ilvl w:val="0"/>
          <w:numId w:val="0"/>
        </w:numPr>
        <w:tabs>
          <w:tab w:val="clear" w:pos="709"/>
          <w:tab w:val="left" w:pos="0" w:leader="none"/>
          <w:tab w:val="left" w:pos="1418" w:leader="none"/>
          <w:tab w:val="left" w:pos="1985" w:leader="none"/>
        </w:tabs>
        <w:ind w:left="0" w:hanging="0"/>
        <w:jc w:val="both"/>
        <w:rPr>
          <w:bCs/>
          <w:sz w:val="24"/>
          <w:szCs w:val="24"/>
        </w:rPr>
      </w:pPr>
      <w:r>
        <w:rPr>
          <w:bCs/>
          <w:sz w:val="24"/>
          <w:szCs w:val="24"/>
        </w:rPr>
        <w:t xml:space="preserve">          </w:t>
      </w:r>
      <w:r>
        <w:rPr>
          <w:bCs/>
          <w:sz w:val="24"/>
          <w:szCs w:val="24"/>
        </w:rPr>
        <w:t xml:space="preserve">13.9.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widowControl/>
        <w:numPr>
          <w:ilvl w:val="0"/>
          <w:numId w:val="0"/>
        </w:numPr>
        <w:shd w:val="clear" w:color="auto" w:fill="FFFFFF"/>
        <w:tabs>
          <w:tab w:val="clear" w:pos="709"/>
          <w:tab w:val="left" w:pos="0" w:leader="none"/>
          <w:tab w:val="left" w:pos="1418" w:leader="none"/>
          <w:tab w:val="left" w:pos="1985" w:leader="none"/>
        </w:tabs>
        <w:ind w:left="0" w:hanging="0"/>
        <w:jc w:val="both"/>
        <w:rPr>
          <w:bCs/>
          <w:sz w:val="24"/>
          <w:szCs w:val="24"/>
        </w:rPr>
      </w:pPr>
      <w:r>
        <w:rPr>
          <w:sz w:val="24"/>
          <w:szCs w:val="24"/>
        </w:rPr>
        <w:t xml:space="preserve">       </w:t>
      </w:r>
      <w:r>
        <w:rPr>
          <w:sz w:val="24"/>
          <w:szCs w:val="24"/>
        </w:rPr>
        <w:t xml:space="preserve">13.10. Уступка (передача), в том числе в залог, прав (требований) к Покупателю </w:t>
        <w:br/>
        <w:t>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Pr>
          <w:rStyle w:val="FootnoteReference"/>
          <w:sz w:val="24"/>
          <w:szCs w:val="24"/>
        </w:rPr>
        <w:footnoteReference w:id="6"/>
      </w:r>
      <w:r>
        <w:rPr>
          <w:bCs/>
          <w:sz w:val="24"/>
          <w:szCs w:val="24"/>
        </w:rPr>
        <w:t>.</w:t>
      </w:r>
      <w:r>
        <w:rPr>
          <w:sz w:val="24"/>
          <w:szCs w:val="24"/>
        </w:rPr>
        <w:t xml:space="preserve"> </w:t>
      </w:r>
    </w:p>
    <w:p>
      <w:pPr>
        <w:pStyle w:val="ListParagraph"/>
        <w:widowControl/>
        <w:numPr>
          <w:ilvl w:val="0"/>
          <w:numId w:val="0"/>
        </w:numPr>
        <w:shd w:val="clear" w:color="auto" w:fill="FFFFFF"/>
        <w:tabs>
          <w:tab w:val="clear" w:pos="709"/>
          <w:tab w:val="left" w:pos="0" w:leader="none"/>
          <w:tab w:val="left" w:pos="1418" w:leader="none"/>
        </w:tabs>
        <w:ind w:left="0" w:hanging="0"/>
        <w:jc w:val="both"/>
        <w:rPr>
          <w:sz w:val="24"/>
          <w:szCs w:val="24"/>
        </w:rPr>
      </w:pPr>
      <w:r>
        <w:rPr>
          <w:sz w:val="24"/>
          <w:szCs w:val="24"/>
        </w:rPr>
        <w:t xml:space="preserve">        </w:t>
      </w:r>
      <w:r>
        <w:rPr>
          <w:sz w:val="24"/>
          <w:szCs w:val="24"/>
        </w:rPr>
        <w:t xml:space="preserve">13.11. 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0"/>
          <w:numId w:val="0"/>
        </w:numPr>
        <w:shd w:val="clear" w:color="auto" w:fill="FFFFFF"/>
        <w:tabs>
          <w:tab w:val="clear" w:pos="709"/>
          <w:tab w:val="left" w:pos="0" w:leader="none"/>
          <w:tab w:val="left" w:pos="1418" w:leader="none"/>
        </w:tabs>
        <w:ind w:left="0" w:hanging="0"/>
        <w:jc w:val="both"/>
        <w:rPr>
          <w:sz w:val="24"/>
          <w:szCs w:val="24"/>
        </w:rPr>
      </w:pPr>
      <w:r>
        <w:rPr>
          <w:sz w:val="24"/>
          <w:szCs w:val="24"/>
        </w:rPr>
        <w:t xml:space="preserve">     </w:t>
      </w:r>
    </w:p>
    <w:p>
      <w:pPr>
        <w:pStyle w:val="Normal"/>
        <w:shd w:val="clear" w:color="auto" w:fill="FFFFFF"/>
        <w:ind w:firstLine="567"/>
        <w:jc w:val="both"/>
        <w:rPr>
          <w:sz w:val="24"/>
          <w:szCs w:val="24"/>
        </w:rPr>
      </w:pPr>
      <w:r>
        <w:rPr>
          <w:sz w:val="24"/>
          <w:szCs w:val="24"/>
        </w:rPr>
      </w:r>
    </w:p>
    <w:p>
      <w:pPr>
        <w:pStyle w:val="Normal"/>
        <w:widowControl/>
        <w:numPr>
          <w:ilvl w:val="0"/>
          <w:numId w:val="0"/>
        </w:numPr>
        <w:shd w:val="clear" w:color="auto" w:fill="FFFFFF"/>
        <w:tabs>
          <w:tab w:val="clear" w:pos="709"/>
          <w:tab w:val="left" w:pos="284" w:leader="none"/>
        </w:tabs>
        <w:spacing w:lineRule="auto" w:line="259" w:before="0" w:after="0"/>
        <w:ind w:left="360" w:hanging="0"/>
        <w:contextualSpacing/>
        <w:jc w:val="center"/>
        <w:rPr>
          <w:b/>
          <w:bCs/>
          <w:sz w:val="24"/>
          <w:szCs w:val="24"/>
        </w:rPr>
      </w:pPr>
      <w:r>
        <w:rPr>
          <w:b/>
          <w:bCs/>
          <w:sz w:val="24"/>
          <w:szCs w:val="24"/>
        </w:rPr>
        <w:t xml:space="preserve">14. Список приложений </w:t>
      </w:r>
    </w:p>
    <w:p>
      <w:pPr>
        <w:pStyle w:val="Normal"/>
        <w:widowControl/>
        <w:shd w:val="clear" w:color="auto" w:fill="FFFFFF"/>
        <w:tabs>
          <w:tab w:val="clear" w:pos="709"/>
          <w:tab w:val="left" w:pos="0" w:leader="none"/>
        </w:tabs>
        <w:suppressAutoHyphens w:val="true"/>
        <w:ind w:firstLine="709"/>
        <w:jc w:val="both"/>
        <w:rPr>
          <w:rFonts w:eastAsia="Calibri"/>
          <w:sz w:val="24"/>
          <w:szCs w:val="24"/>
          <w:lang w:eastAsia="en-US"/>
        </w:rPr>
      </w:pPr>
      <w:bookmarkStart w:id="9" w:name="sub_1"/>
      <w:r>
        <w:rPr>
          <w:rFonts w:eastAsia="Calibri"/>
          <w:sz w:val="24"/>
          <w:szCs w:val="24"/>
          <w:lang w:eastAsia="en-US"/>
        </w:rPr>
        <w:t>Приложение № 1 – Спецификация.</w:t>
      </w:r>
    </w:p>
    <w:p>
      <w:pPr>
        <w:pStyle w:val="Normal"/>
        <w:widowControl/>
        <w:shd w:val="clear" w:color="auto" w:fill="FFFFFF"/>
        <w:tabs>
          <w:tab w:val="clear" w:pos="709"/>
          <w:tab w:val="left" w:pos="0" w:leader="none"/>
          <w:tab w:val="left" w:pos="2694" w:leader="none"/>
        </w:tabs>
        <w:suppressAutoHyphens w:val="true"/>
        <w:ind w:firstLine="709"/>
        <w:jc w:val="both"/>
        <w:rPr>
          <w:rFonts w:eastAsia="Calibri"/>
          <w:sz w:val="24"/>
          <w:szCs w:val="24"/>
          <w:lang w:eastAsia="en-US"/>
        </w:rPr>
      </w:pPr>
      <w:r>
        <w:rPr>
          <w:rFonts w:eastAsia="Calibri"/>
          <w:sz w:val="24"/>
          <w:szCs w:val="24"/>
          <w:lang w:eastAsia="en-US"/>
        </w:rPr>
        <w:t xml:space="preserve">Приложение № 2 – </w:t>
      </w:r>
      <w:r>
        <w:rPr>
          <w:sz w:val="24"/>
          <w:szCs w:val="24"/>
          <w:lang w:eastAsia="x-none"/>
        </w:rPr>
        <w:t>Технические требования.</w:t>
      </w:r>
      <w:bookmarkEnd w:id="9"/>
    </w:p>
    <w:p>
      <w:pPr>
        <w:pStyle w:val="Normal"/>
        <w:ind w:firstLine="709"/>
        <w:jc w:val="both"/>
        <w:rPr>
          <w:bCs/>
          <w:sz w:val="24"/>
          <w:szCs w:val="24"/>
        </w:rPr>
      </w:pPr>
      <w:r>
        <w:rPr>
          <w:bCs/>
          <w:sz w:val="24"/>
          <w:szCs w:val="24"/>
        </w:rPr>
        <w:t xml:space="preserve">Приложение № 3 </w:t>
      </w:r>
      <w:r>
        <w:rPr>
          <w:rFonts w:eastAsia="Calibri"/>
          <w:sz w:val="24"/>
          <w:szCs w:val="24"/>
          <w:lang w:eastAsia="en-US"/>
        </w:rPr>
        <w:t>–</w:t>
      </w:r>
      <w:r>
        <w:rPr>
          <w:bCs/>
          <w:sz w:val="24"/>
          <w:szCs w:val="24"/>
        </w:rPr>
        <w:t xml:space="preserve"> Размер ответственности Поставщика за нарушения пропускного </w:t>
        <w:br/>
        <w:t>и внутриобъектового режима, требований охраны труда, пожарной и промышленной безопасности.</w:t>
      </w:r>
    </w:p>
    <w:p>
      <w:pPr>
        <w:pStyle w:val="Normal"/>
        <w:ind w:firstLine="709"/>
        <w:jc w:val="both"/>
        <w:rPr>
          <w:bCs/>
          <w:sz w:val="24"/>
          <w:szCs w:val="24"/>
        </w:rPr>
      </w:pPr>
      <w:r>
        <w:rPr>
          <w:bCs/>
          <w:sz w:val="24"/>
          <w:szCs w:val="24"/>
        </w:rPr>
      </w:r>
    </w:p>
    <w:p>
      <w:pPr>
        <w:pStyle w:val="Normal"/>
        <w:ind w:firstLine="709"/>
        <w:jc w:val="both"/>
        <w:rPr>
          <w:sz w:val="24"/>
          <w:szCs w:val="24"/>
        </w:rPr>
      </w:pPr>
      <w:r>
        <w:rPr>
          <w:sz w:val="24"/>
          <w:szCs w:val="24"/>
        </w:rPr>
      </w:r>
    </w:p>
    <w:p>
      <w:pPr>
        <w:pStyle w:val="ListParagraph"/>
        <w:widowControl/>
        <w:numPr>
          <w:ilvl w:val="0"/>
          <w:numId w:val="0"/>
        </w:numPr>
        <w:shd w:val="clear" w:color="auto" w:fill="FFFFFF"/>
        <w:tabs>
          <w:tab w:val="clear" w:pos="709"/>
          <w:tab w:val="left" w:pos="426" w:leader="none"/>
        </w:tabs>
        <w:ind w:left="0" w:hanging="0"/>
        <w:jc w:val="center"/>
        <w:rPr>
          <w:b/>
          <w:bCs/>
          <w:sz w:val="24"/>
          <w:szCs w:val="24"/>
        </w:rPr>
      </w:pPr>
      <w:r>
        <w:rPr>
          <w:b/>
          <w:bCs/>
          <w:sz w:val="24"/>
          <w:szCs w:val="24"/>
        </w:rPr>
        <w:t>15. Адреса и платежные реквизиты Сторон</w:t>
      </w:r>
    </w:p>
    <w:p>
      <w:pPr>
        <w:pStyle w:val="ListParagraph"/>
        <w:widowControl/>
        <w:shd w:val="clear" w:color="auto" w:fill="FFFFFF"/>
        <w:tabs>
          <w:tab w:val="clear" w:pos="709"/>
          <w:tab w:val="left" w:pos="426" w:leader="none"/>
        </w:tabs>
        <w:ind w:left="360" w:hanging="0"/>
        <w:rPr>
          <w:b/>
          <w:bCs/>
          <w:sz w:val="24"/>
          <w:szCs w:val="24"/>
        </w:rPr>
      </w:pPr>
      <w:r>
        <w:rPr>
          <w:b/>
          <w:bCs/>
          <w:sz w:val="24"/>
          <w:szCs w:val="24"/>
        </w:rPr>
      </w:r>
    </w:p>
    <w:tbl>
      <w:tblPr>
        <w:tblW w:w="9890"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4775"/>
        <w:gridCol w:w="153"/>
        <w:gridCol w:w="4633"/>
        <w:gridCol w:w="329"/>
      </w:tblGrid>
      <w:tr>
        <w:trPr/>
        <w:tc>
          <w:tcPr>
            <w:tcW w:w="4928" w:type="dxa"/>
            <w:gridSpan w:val="2"/>
            <w:tcBorders/>
          </w:tcPr>
          <w:p>
            <w:pPr>
              <w:pStyle w:val="Normal"/>
              <w:widowControl w:val="false"/>
              <w:rPr>
                <w:sz w:val="24"/>
                <w:szCs w:val="24"/>
              </w:rPr>
            </w:pPr>
            <w:r>
              <w:rPr>
                <w:sz w:val="24"/>
                <w:szCs w:val="24"/>
              </w:rPr>
              <w:t>ПОКУПАТЕЛЬ:</w:t>
            </w:r>
          </w:p>
        </w:tc>
        <w:tc>
          <w:tcPr>
            <w:tcW w:w="4962" w:type="dxa"/>
            <w:gridSpan w:val="2"/>
            <w:tcBorders/>
          </w:tcPr>
          <w:p>
            <w:pPr>
              <w:pStyle w:val="Normal"/>
              <w:widowControl w:val="false"/>
              <w:rPr>
                <w:sz w:val="24"/>
                <w:szCs w:val="24"/>
              </w:rPr>
            </w:pPr>
            <w:r>
              <w:rPr>
                <w:sz w:val="24"/>
                <w:szCs w:val="24"/>
              </w:rPr>
              <w:t>ПОСТАВЩИК:</w:t>
            </w:r>
          </w:p>
        </w:tc>
      </w:tr>
      <w:tr>
        <w:trPr/>
        <w:tc>
          <w:tcPr>
            <w:tcW w:w="4928" w:type="dxa"/>
            <w:gridSpan w:val="2"/>
            <w:tcBorders/>
            <w:shd w:color="auto" w:fill="BFBFBF"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spacing w:lineRule="auto" w:line="240"/>
              <w:ind w:hanging="0"/>
              <w:jc w:val="left"/>
              <w:rPr>
                <w:sz w:val="24"/>
                <w:szCs w:val="24"/>
              </w:rPr>
            </w:pPr>
            <w:r>
              <w:rPr>
                <w:sz w:val="24"/>
                <w:szCs w:val="24"/>
              </w:rPr>
              <w:t>Юридический/Почтовый адрес: 660049, Красноярский край, г.о. город Красноярск,</w:t>
            </w:r>
          </w:p>
          <w:p>
            <w:pPr>
              <w:pStyle w:val="Normal"/>
              <w:widowControl w:val="false"/>
              <w:spacing w:lineRule="auto" w:line="240"/>
              <w:ind w:hanging="0"/>
              <w:jc w:val="left"/>
              <w:rPr>
                <w:sz w:val="24"/>
                <w:szCs w:val="24"/>
              </w:rPr>
            </w:pPr>
            <w:r>
              <w:rPr>
                <w:sz w:val="24"/>
                <w:szCs w:val="24"/>
              </w:rPr>
              <w:t xml:space="preserve">г. Красноярск, ул. Перенсона, д.2, пом.1, </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ОГРН 1042401810494, </w:t>
            </w:r>
          </w:p>
          <w:p>
            <w:pPr>
              <w:pStyle w:val="Normal"/>
              <w:widowControl w:val="false"/>
              <w:rPr>
                <w:sz w:val="24"/>
                <w:szCs w:val="24"/>
              </w:rPr>
            </w:pPr>
            <w:r>
              <w:rPr>
                <w:sz w:val="24"/>
                <w:szCs w:val="24"/>
              </w:rPr>
              <w:t>ИНН 2460066195 / КПП 590702001</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расчетного счета)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банка, в котором</w:t>
            </w:r>
          </w:p>
          <w:p>
            <w:pPr>
              <w:pStyle w:val="Normal"/>
              <w:widowControl w:val="false"/>
              <w:rPr>
                <w:sz w:val="24"/>
                <w:szCs w:val="24"/>
              </w:rPr>
            </w:pPr>
            <w:r>
              <w:rPr>
                <w:sz w:val="24"/>
                <w:szCs w:val="24"/>
              </w:rPr>
              <w:t>открыт расчетный счет)</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корреспондентского счета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(БИК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телефона)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факса)</w:t>
            </w:r>
          </w:p>
          <w:p>
            <w:pPr>
              <w:pStyle w:val="Normal"/>
              <w:widowControl w:val="false"/>
              <w:rPr>
                <w:sz w:val="24"/>
                <w:szCs w:val="24"/>
              </w:rPr>
            </w:pPr>
            <w:r>
              <w:rPr>
                <w:sz w:val="24"/>
                <w:szCs w:val="24"/>
              </w:rPr>
            </w:r>
          </w:p>
        </w:tc>
        <w:tc>
          <w:tcPr>
            <w:tcW w:w="4962" w:type="dxa"/>
            <w:gridSpan w:val="2"/>
            <w:tcBorders/>
            <w:shd w:color="auto" w:fill="BFBFBF" w:val="clear"/>
          </w:tcPr>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юридического лица)</w:t>
            </w:r>
          </w:p>
          <w:p>
            <w:pPr>
              <w:pStyle w:val="Normal"/>
              <w:widowControl w:val="false"/>
              <w:rPr>
                <w:sz w:val="24"/>
                <w:szCs w:val="24"/>
              </w:rPr>
            </w:pPr>
            <w:r>
              <w:rPr>
                <w:sz w:val="24"/>
                <w:szCs w:val="24"/>
              </w:rPr>
            </w:r>
          </w:p>
          <w:p>
            <w:pPr>
              <w:pStyle w:val="Normal"/>
              <w:widowControl w:val="false"/>
              <w:rPr>
                <w:sz w:val="24"/>
                <w:szCs w:val="24"/>
              </w:rPr>
            </w:pPr>
            <w:r>
              <w:rPr>
                <w:sz w:val="24"/>
                <w:szCs w:val="24"/>
              </w:rPr>
              <w:t>Юридический адрес:</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Почтовый адрес:</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ОГРН ___________________________</w:t>
            </w:r>
          </w:p>
          <w:p>
            <w:pPr>
              <w:pStyle w:val="Normal"/>
              <w:widowControl w:val="false"/>
              <w:rPr>
                <w:sz w:val="24"/>
                <w:szCs w:val="24"/>
              </w:rPr>
            </w:pPr>
            <w:r>
              <w:rPr>
                <w:sz w:val="24"/>
                <w:szCs w:val="24"/>
              </w:rPr>
              <w:t>ИНН ____________ / КПП___________</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расчетного счета)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банка, в котором</w:t>
            </w:r>
          </w:p>
          <w:p>
            <w:pPr>
              <w:pStyle w:val="Normal"/>
              <w:widowControl w:val="false"/>
              <w:rPr>
                <w:sz w:val="24"/>
                <w:szCs w:val="24"/>
              </w:rPr>
            </w:pPr>
            <w:r>
              <w:rPr>
                <w:sz w:val="24"/>
                <w:szCs w:val="24"/>
              </w:rPr>
              <w:t>открыт расчетный счет)</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корреспондентского счета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(БИК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телефона)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факса)</w:t>
            </w:r>
          </w:p>
          <w:p>
            <w:pPr>
              <w:pStyle w:val="Normal"/>
              <w:widowControl w:val="false"/>
              <w:rPr>
                <w:sz w:val="24"/>
                <w:szCs w:val="24"/>
              </w:rPr>
            </w:pPr>
            <w:r>
              <w:rPr>
                <w:sz w:val="24"/>
                <w:szCs w:val="24"/>
              </w:rPr>
            </w:r>
          </w:p>
        </w:tc>
      </w:tr>
      <w:tr>
        <w:trPr/>
        <w:tc>
          <w:tcPr>
            <w:tcW w:w="4775" w:type="dxa"/>
            <w:tcBorders/>
          </w:tcPr>
          <w:p>
            <w:pPr>
              <w:pStyle w:val="Normal"/>
              <w:widowControl w:val="false"/>
              <w:rPr>
                <w:sz w:val="24"/>
                <w:szCs w:val="24"/>
                <w:highlight w:val="lightGray"/>
              </w:rPr>
            </w:pPr>
            <w:r>
              <w:rPr>
                <w:sz w:val="24"/>
                <w:szCs w:val="24"/>
                <w:highlight w:val="lightGray"/>
              </w:rPr>
              <w:t xml:space="preserve">_______________ / _______________ </w:t>
            </w:r>
          </w:p>
          <w:p>
            <w:pPr>
              <w:pStyle w:val="Normal"/>
              <w:widowControl w:val="false"/>
              <w:rPr>
                <w:sz w:val="24"/>
                <w:szCs w:val="24"/>
                <w:highlight w:val="lightGray"/>
              </w:rPr>
            </w:pPr>
            <w:r>
              <w:rPr>
                <w:sz w:val="24"/>
                <w:szCs w:val="24"/>
                <w:highlight w:val="lightGray"/>
              </w:rPr>
            </w:r>
          </w:p>
        </w:tc>
        <w:tc>
          <w:tcPr>
            <w:tcW w:w="4786" w:type="dxa"/>
            <w:gridSpan w:val="2"/>
            <w:tcBorders/>
          </w:tcPr>
          <w:p>
            <w:pPr>
              <w:pStyle w:val="Normal"/>
              <w:widowControl w:val="false"/>
              <w:rPr>
                <w:sz w:val="24"/>
                <w:szCs w:val="24"/>
              </w:rPr>
            </w:pPr>
            <w:r>
              <w:rPr>
                <w:sz w:val="24"/>
                <w:szCs w:val="24"/>
                <w:highlight w:val="lightGray"/>
              </w:rPr>
              <w:t>_______________ / _______________</w:t>
            </w:r>
            <w:r>
              <w:rPr>
                <w:sz w:val="24"/>
                <w:szCs w:val="24"/>
              </w:rPr>
              <w:t xml:space="preserve"> </w:t>
            </w:r>
          </w:p>
        </w:tc>
        <w:tc>
          <w:tcPr>
            <w:tcW w:w="329" w:type="dxa"/>
            <w:tcBorders/>
          </w:tcPr>
          <w:p>
            <w:pPr>
              <w:pStyle w:val="Normal"/>
              <w:widowControl w:val="false"/>
              <w:rPr/>
            </w:pPr>
            <w:r>
              <w:rPr/>
            </w:r>
          </w:p>
        </w:tc>
      </w:tr>
    </w:tbl>
    <w:p>
      <w:pPr>
        <w:sectPr>
          <w:headerReference w:type="default" r:id="rId5"/>
          <w:headerReference w:type="first" r:id="rId6"/>
          <w:footerReference w:type="default" r:id="rId7"/>
          <w:footnotePr>
            <w:numFmt w:val="decimal"/>
          </w:footnotePr>
          <w:type w:val="nextPage"/>
          <w:pgSz w:w="11906" w:h="16838"/>
          <w:pgMar w:left="1560" w:right="851" w:gutter="0" w:header="709" w:top="1134" w:footer="709" w:bottom="1135"/>
          <w:pgNumType w:fmt="decimal"/>
          <w:formProt w:val="false"/>
          <w:titlePg/>
          <w:textDirection w:val="lrTb"/>
          <w:docGrid w:type="default" w:linePitch="360" w:charSpace="8192"/>
        </w:sectPr>
      </w:pPr>
    </w:p>
    <w:p>
      <w:pPr>
        <w:pStyle w:val="Normal"/>
        <w:suppressAutoHyphens w:val="true"/>
        <w:ind w:left="5103" w:right="96" w:hanging="0"/>
        <w:rPr>
          <w:sz w:val="22"/>
          <w:szCs w:val="22"/>
        </w:rPr>
      </w:pPr>
      <w:r>
        <w:rPr>
          <w:sz w:val="22"/>
          <w:szCs w:val="22"/>
        </w:rPr>
        <w:t>Приложение № 1</w:t>
      </w:r>
    </w:p>
    <w:p>
      <w:pPr>
        <w:pStyle w:val="Normal"/>
        <w:suppressAutoHyphens w:val="true"/>
        <w:ind w:left="5103" w:right="96" w:hanging="0"/>
        <w:rPr>
          <w:sz w:val="22"/>
          <w:szCs w:val="22"/>
        </w:rPr>
      </w:pPr>
      <w:r>
        <w:rPr>
          <w:sz w:val="22"/>
          <w:szCs w:val="22"/>
        </w:rPr>
        <w:t>к Договору поставки</w:t>
      </w:r>
    </w:p>
    <w:p>
      <w:pPr>
        <w:pStyle w:val="Normal"/>
        <w:suppressAutoHyphens w:val="true"/>
        <w:ind w:left="5103" w:right="96" w:hanging="0"/>
        <w:rPr>
          <w:sz w:val="22"/>
          <w:szCs w:val="22"/>
        </w:rPr>
      </w:pPr>
      <w:r>
        <w:rPr>
          <w:sz w:val="22"/>
          <w:szCs w:val="22"/>
        </w:rPr>
        <w:t>от «____» __________ 20 _ г. № _____</w:t>
      </w:r>
    </w:p>
    <w:p>
      <w:pPr>
        <w:pStyle w:val="Normal"/>
        <w:jc w:val="center"/>
        <w:rPr>
          <w:b/>
          <w:sz w:val="24"/>
          <w:szCs w:val="24"/>
        </w:rPr>
      </w:pPr>
      <w:r>
        <w:rPr>
          <w:b/>
          <w:sz w:val="24"/>
          <w:szCs w:val="24"/>
        </w:rPr>
      </w:r>
    </w:p>
    <w:p>
      <w:pPr>
        <w:pStyle w:val="Normal"/>
        <w:jc w:val="center"/>
        <w:rPr>
          <w:b/>
          <w:sz w:val="24"/>
          <w:szCs w:val="24"/>
        </w:rPr>
      </w:pPr>
      <w:r>
        <w:rPr>
          <w:b/>
          <w:sz w:val="24"/>
          <w:szCs w:val="24"/>
        </w:rPr>
        <w:t xml:space="preserve">СПЕЦИФИКАЦИЯ </w:t>
      </w:r>
    </w:p>
    <w:p>
      <w:pPr>
        <w:pStyle w:val="Normal"/>
        <w:jc w:val="center"/>
        <w:rPr>
          <w:b/>
          <w:sz w:val="24"/>
          <w:szCs w:val="24"/>
        </w:rPr>
      </w:pPr>
      <w:r>
        <w:rPr>
          <w:b/>
          <w:sz w:val="24"/>
          <w:szCs w:val="24"/>
        </w:rPr>
      </w:r>
    </w:p>
    <w:tbl>
      <w:tblPr>
        <w:tblW w:w="5000" w:type="pct"/>
        <w:jc w:val="left"/>
        <w:tblInd w:w="-714" w:type="dxa"/>
        <w:tblLayout w:type="fixed"/>
        <w:tblCellMar>
          <w:top w:w="0" w:type="dxa"/>
          <w:left w:w="108" w:type="dxa"/>
          <w:bottom w:w="0" w:type="dxa"/>
          <w:right w:w="108" w:type="dxa"/>
        </w:tblCellMar>
        <w:tblLook w:noVBand="1" w:val="04a0" w:noHBand="0" w:lastColumn="0" w:firstColumn="1" w:lastRow="0" w:firstRow="1"/>
      </w:tblPr>
      <w:tblGrid>
        <w:gridCol w:w="397"/>
        <w:gridCol w:w="633"/>
        <w:gridCol w:w="636"/>
        <w:gridCol w:w="638"/>
        <w:gridCol w:w="799"/>
        <w:gridCol w:w="766"/>
        <w:gridCol w:w="644"/>
        <w:gridCol w:w="762"/>
        <w:gridCol w:w="720"/>
        <w:gridCol w:w="375"/>
        <w:gridCol w:w="158"/>
        <w:gridCol w:w="665"/>
        <w:gridCol w:w="583"/>
        <w:gridCol w:w="531"/>
        <w:gridCol w:w="745"/>
        <w:gridCol w:w="585"/>
      </w:tblGrid>
      <w:tr>
        <w:trPr>
          <w:trHeight w:val="526" w:hRule="atLeast"/>
        </w:trPr>
        <w:tc>
          <w:tcPr>
            <w:tcW w:w="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 xml:space="preserve">№ </w:t>
            </w:r>
            <w:r>
              <w:rPr>
                <w:bCs/>
              </w:rPr>
              <w:t>поз.</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Наименование Товара</w:t>
            </w:r>
          </w:p>
        </w:tc>
        <w:tc>
          <w:tcPr>
            <w:tcW w:w="6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Артикул, тип, марка</w:t>
            </w:r>
          </w:p>
        </w:tc>
        <w:tc>
          <w:tcPr>
            <w:tcW w:w="6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Завод изготовитель</w:t>
            </w:r>
          </w:p>
        </w:tc>
        <w:tc>
          <w:tcPr>
            <w:tcW w:w="79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Страна происхождения Товара</w:t>
            </w:r>
            <w:r>
              <w:rPr>
                <w:rStyle w:val="FootnoteReference"/>
                <w:bCs/>
              </w:rPr>
              <w:footnoteReference w:id="7"/>
            </w:r>
          </w:p>
        </w:tc>
        <w:tc>
          <w:tcPr>
            <w:tcW w:w="7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t>Страна регистрации производителя Товара</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Код ОКПД 2 (с наименованием)</w:t>
            </w:r>
          </w:p>
        </w:tc>
        <w:tc>
          <w:tcPr>
            <w:tcW w:w="7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Единица измерения</w:t>
            </w:r>
          </w:p>
        </w:tc>
        <w:tc>
          <w:tcPr>
            <w:tcW w:w="72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
                <w:bCs/>
              </w:rPr>
            </w:pPr>
            <w:r>
              <w:rPr>
                <w:b/>
                <w:bCs/>
              </w:rPr>
            </w:r>
          </w:p>
          <w:p>
            <w:pPr>
              <w:pStyle w:val="Normal"/>
              <w:widowControl w:val="false"/>
              <w:jc w:val="center"/>
              <w:rPr>
                <w:bCs/>
              </w:rPr>
            </w:pPr>
            <w:r>
              <w:rPr>
                <w:bCs/>
                <w:highlight w:val="lightGray"/>
              </w:rPr>
              <w:t>Порядковый номер(а) реестровой(ых) записи(ей)</w:t>
            </w:r>
            <w:r>
              <w:rPr>
                <w:rStyle w:val="FootnoteReference"/>
                <w:bCs/>
                <w:highlight w:val="lightGray"/>
              </w:rPr>
              <w:footnoteReference w:id="8"/>
            </w:r>
          </w:p>
          <w:p>
            <w:pPr>
              <w:pStyle w:val="Normal"/>
              <w:widowControl w:val="false"/>
              <w:jc w:val="center"/>
              <w:rPr>
                <w:bCs/>
              </w:rPr>
            </w:pPr>
            <w:r>
              <w:rPr>
                <w:bCs/>
              </w:rPr>
            </w:r>
          </w:p>
        </w:tc>
        <w:tc>
          <w:tcPr>
            <w:tcW w:w="533"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Количество</w:t>
            </w:r>
          </w:p>
        </w:tc>
        <w:tc>
          <w:tcPr>
            <w:tcW w:w="6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за единицу, руб. без НДС</w:t>
            </w:r>
          </w:p>
        </w:tc>
        <w:tc>
          <w:tcPr>
            <w:tcW w:w="5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руб. без НДС</w:t>
            </w:r>
          </w:p>
        </w:tc>
        <w:tc>
          <w:tcPr>
            <w:tcW w:w="5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НДС</w:t>
            </w:r>
          </w:p>
          <w:p>
            <w:pPr>
              <w:pStyle w:val="Normal"/>
              <w:widowControl w:val="false"/>
              <w:jc w:val="center"/>
              <w:rPr>
                <w:bCs/>
              </w:rPr>
            </w:pPr>
            <w:r>
              <w:rPr>
                <w:bCs/>
              </w:rPr>
              <w:t>(___%) руб.*</w:t>
            </w:r>
          </w:p>
        </w:tc>
        <w:tc>
          <w:tcPr>
            <w:tcW w:w="7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Стоимость, руб., с НДС*</w:t>
            </w:r>
          </w:p>
        </w:tc>
        <w:tc>
          <w:tcPr>
            <w:tcW w:w="5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Перечень сопроводительных документов (в том числе подтверждающих качество Товара)</w:t>
            </w:r>
          </w:p>
        </w:tc>
      </w:tr>
      <w:tr>
        <w:trPr>
          <w:trHeight w:val="538" w:hRule="atLeast"/>
        </w:trPr>
        <w:tc>
          <w:tcPr>
            <w:tcW w:w="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1</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36"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9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66"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4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6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33"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3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2</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36"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9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66"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4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6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33"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62" w:hRule="atLeast"/>
        </w:trPr>
        <w:tc>
          <w:tcPr>
            <w:tcW w:w="6370" w:type="dxa"/>
            <w:gridSpan w:val="10"/>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lightGray"/>
              </w:rPr>
              <w:t>Итого стоимость всего Товара (с учетом доставки), руб. с НДС*:</w:t>
            </w:r>
          </w:p>
        </w:tc>
        <w:tc>
          <w:tcPr>
            <w:tcW w:w="3267" w:type="dxa"/>
            <w:gridSpan w:val="6"/>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r>
    </w:tbl>
    <w:p>
      <w:pPr>
        <w:pStyle w:val="Normal"/>
        <w:widowControl w:val="false"/>
        <w:bidi w:val="0"/>
        <w:spacing w:lineRule="auto" w:line="240" w:before="0" w:after="0"/>
        <w:ind w:left="-737" w:right="680" w:hanging="0"/>
        <w:jc w:val="both"/>
        <w:rPr>
          <w:i/>
          <w:i/>
          <w:iCs/>
          <w:sz w:val="20"/>
          <w:szCs w:val="20"/>
          <w:highlight w:val="none"/>
          <w:shd w:fill="auto" w:val="clear"/>
        </w:rPr>
      </w:pPr>
      <w:r>
        <w:rPr>
          <w:i/>
          <w:iCs/>
          <w:sz w:val="20"/>
          <w:szCs w:val="20"/>
          <w:shd w:fill="auto" w:val="clear"/>
        </w:rPr>
        <w:t>* При этом сумма НДС является справочной и рассчитана исходя из ставки НДС в соответствии с действующим законодательством Российской Федерации.</w:t>
      </w:r>
    </w:p>
    <w:p>
      <w:pPr>
        <w:pStyle w:val="Normal"/>
        <w:widowControl w:val="false"/>
        <w:bidi w:val="0"/>
        <w:spacing w:lineRule="auto" w:line="240" w:before="0" w:after="0"/>
        <w:ind w:left="-737" w:right="680" w:hanging="0"/>
        <w:jc w:val="both"/>
        <w:rPr>
          <w:i/>
          <w:i/>
          <w:iCs/>
          <w:sz w:val="20"/>
          <w:szCs w:val="20"/>
          <w:highlight w:val="none"/>
          <w:shd w:fill="auto" w:val="clear"/>
        </w:rPr>
      </w:pPr>
      <w:r>
        <w:rPr>
          <w:i/>
          <w:iCs/>
          <w:sz w:val="20"/>
          <w:szCs w:val="20"/>
          <w:shd w:fill="auto" w:val="clear"/>
        </w:rPr>
      </w:r>
    </w:p>
    <w:p>
      <w:pPr>
        <w:pStyle w:val="Normal"/>
        <w:rPr>
          <w:i/>
          <w:i/>
          <w:sz w:val="22"/>
          <w:szCs w:val="22"/>
          <w:highlight w:val="lightGray"/>
        </w:rPr>
      </w:pPr>
      <w:r>
        <w:rPr>
          <w:i/>
          <w:sz w:val="22"/>
          <w:szCs w:val="22"/>
          <w:highlight w:val="lightGray"/>
        </w:rPr>
        <w:t>1.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pPr>
        <w:pStyle w:val="Normal"/>
        <w:jc w:val="both"/>
        <w:rPr>
          <w:i/>
          <w:i/>
          <w:sz w:val="22"/>
          <w:szCs w:val="22"/>
        </w:rPr>
      </w:pPr>
      <w:r>
        <w:rPr>
          <w:i/>
          <w:sz w:val="22"/>
          <w:szCs w:val="22"/>
          <w:highlight w:val="lightGray"/>
        </w:rPr>
        <w:t>2. По требованию Покупателя Поставщик обязан представить запрашиваемую информацию / документы, расчеты, обосновывающие стоимость доставки.</w:t>
      </w:r>
      <w:r>
        <w:rPr>
          <w:i/>
          <w:sz w:val="22"/>
          <w:szCs w:val="22"/>
        </w:rPr>
        <w:t xml:space="preserve"> </w:t>
      </w:r>
    </w:p>
    <w:p>
      <w:pPr>
        <w:pStyle w:val="Normal"/>
        <w:rPr>
          <w:i/>
          <w:i/>
          <w:sz w:val="22"/>
          <w:szCs w:val="22"/>
        </w:rPr>
      </w:pPr>
      <w:r>
        <w:rPr>
          <w:i/>
          <w:sz w:val="22"/>
          <w:szCs w:val="22"/>
        </w:rPr>
      </w:r>
    </w:p>
    <w:p>
      <w:pPr>
        <w:pStyle w:val="Normal"/>
        <w:rPr>
          <w:i/>
          <w:i/>
          <w:sz w:val="22"/>
          <w:szCs w:val="22"/>
        </w:rPr>
      </w:pPr>
      <w:r>
        <w:rPr>
          <w:i/>
          <w:sz w:val="22"/>
          <w:szCs w:val="22"/>
        </w:rPr>
      </w:r>
    </w:p>
    <w:tbl>
      <w:tblPr>
        <w:tblW w:w="9632"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826"/>
        <w:gridCol w:w="4805"/>
      </w:tblGrid>
      <w:tr>
        <w:trPr>
          <w:trHeight w:val="269" w:hRule="atLeast"/>
        </w:trPr>
        <w:tc>
          <w:tcPr>
            <w:tcW w:w="4826" w:type="dxa"/>
            <w:tcBorders/>
          </w:tcPr>
          <w:p>
            <w:pPr>
              <w:pStyle w:val="Normal"/>
              <w:widowControl w:val="false"/>
              <w:rPr>
                <w:b/>
                <w:sz w:val="24"/>
              </w:rPr>
            </w:pPr>
            <w:r>
              <w:rPr>
                <w:b/>
                <w:sz w:val="24"/>
              </w:rPr>
              <w:t>Покупатель:</w:t>
            </w:r>
          </w:p>
        </w:tc>
        <w:tc>
          <w:tcPr>
            <w:tcW w:w="4805" w:type="dxa"/>
            <w:tcBorders/>
          </w:tcPr>
          <w:p>
            <w:pPr>
              <w:pStyle w:val="Normal"/>
              <w:widowControl w:val="false"/>
              <w:rPr>
                <w:b/>
                <w:sz w:val="24"/>
              </w:rPr>
            </w:pPr>
            <w:r>
              <w:rPr>
                <w:b/>
                <w:sz w:val="24"/>
              </w:rPr>
              <w:t>Поставщик:</w:t>
            </w:r>
          </w:p>
        </w:tc>
      </w:tr>
    </w:tbl>
    <w:p>
      <w:pPr>
        <w:pStyle w:val="Normal"/>
        <w:rPr/>
      </w:pPr>
      <w:r>
        <w:rPr/>
      </w:r>
    </w:p>
    <w:p>
      <w:pPr>
        <w:pStyle w:val="Normal"/>
        <w:rPr/>
      </w:pPr>
      <w:r>
        <w:rPr/>
        <w:t xml:space="preserve"> </w:t>
      </w:r>
      <w:r>
        <w:rPr/>
        <w:t>__________ /__________</w:t>
        <w:tab/>
        <w:t xml:space="preserve">                                          ___________ /___________</w:t>
      </w:r>
    </w:p>
    <w:p>
      <w:pPr>
        <w:pStyle w:val="Normal"/>
        <w:rPr>
          <w:i/>
          <w:i/>
          <w:sz w:val="24"/>
          <w:szCs w:val="24"/>
          <w:highlight w:val="yellow"/>
        </w:rPr>
      </w:pPr>
      <w:r>
        <w:rPr>
          <w:i/>
          <w:sz w:val="24"/>
          <w:szCs w:val="24"/>
          <w:highlight w:val="yellow"/>
        </w:rPr>
      </w:r>
    </w:p>
    <w:p>
      <w:pPr>
        <w:pStyle w:val="Normal"/>
        <w:widowControl/>
        <w:rPr>
          <w:sz w:val="22"/>
          <w:szCs w:val="22"/>
        </w:rPr>
      </w:pPr>
      <w:r>
        <w:rPr>
          <w:sz w:val="22"/>
          <w:szCs w:val="22"/>
        </w:rPr>
      </w:r>
      <w:r>
        <w:br w:type="page"/>
      </w:r>
    </w:p>
    <w:p>
      <w:pPr>
        <w:pStyle w:val="Normal"/>
        <w:suppressAutoHyphens w:val="true"/>
        <w:ind w:right="96" w:firstLine="5103"/>
        <w:rPr>
          <w:sz w:val="22"/>
          <w:szCs w:val="22"/>
        </w:rPr>
      </w:pPr>
      <w:r>
        <w:rPr>
          <w:sz w:val="22"/>
          <w:szCs w:val="22"/>
        </w:rPr>
        <w:t>Приложение № 2</w:t>
      </w:r>
    </w:p>
    <w:p>
      <w:pPr>
        <w:pStyle w:val="Normal"/>
        <w:suppressAutoHyphens w:val="true"/>
        <w:ind w:right="96" w:firstLine="5103"/>
        <w:rPr>
          <w:sz w:val="22"/>
          <w:szCs w:val="22"/>
        </w:rPr>
      </w:pPr>
      <w:r>
        <w:rPr>
          <w:sz w:val="22"/>
          <w:szCs w:val="22"/>
        </w:rPr>
        <w:t xml:space="preserve">к Договору поставки </w:t>
      </w:r>
    </w:p>
    <w:p>
      <w:pPr>
        <w:pStyle w:val="Normal"/>
        <w:suppressAutoHyphens w:val="true"/>
        <w:ind w:right="96" w:firstLine="5103"/>
        <w:rPr>
          <w:sz w:val="22"/>
          <w:szCs w:val="22"/>
        </w:rPr>
      </w:pPr>
      <w:r>
        <w:rPr>
          <w:sz w:val="22"/>
          <w:szCs w:val="22"/>
        </w:rPr>
        <w:t>от «____» __________ 20 _ г. № _____</w:t>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t>ТЕХНИЧЕСКИЕ ТРЕБОВАНИЯ</w:t>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b/>
          <w:sz w:val="24"/>
          <w:szCs w:val="24"/>
        </w:rPr>
      </w:pPr>
      <w:r>
        <w:rPr>
          <w:b/>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9815" w:type="dxa"/>
        <w:jc w:val="left"/>
        <w:tblInd w:w="-176" w:type="dxa"/>
        <w:tblLayout w:type="fixed"/>
        <w:tblCellMar>
          <w:top w:w="0" w:type="dxa"/>
          <w:left w:w="108" w:type="dxa"/>
          <w:bottom w:w="0" w:type="dxa"/>
          <w:right w:w="108" w:type="dxa"/>
        </w:tblCellMar>
        <w:tblLook w:noVBand="1" w:val="04a0" w:noHBand="0" w:lastColumn="0" w:firstColumn="1" w:lastRow="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spacing w:lineRule="auto" w:line="360"/>
              <w:rPr>
                <w:sz w:val="24"/>
                <w:szCs w:val="24"/>
              </w:rPr>
            </w:pPr>
            <w:r>
              <w:rPr>
                <w:sz w:val="24"/>
                <w:szCs w:val="24"/>
              </w:rPr>
            </w:r>
          </w:p>
          <w:p>
            <w:pPr>
              <w:pStyle w:val="Normal"/>
              <w:widowControl w:val="false"/>
              <w:spacing w:lineRule="auto" w:line="360"/>
              <w:rPr>
                <w:sz w:val="24"/>
                <w:szCs w:val="24"/>
              </w:rPr>
            </w:pPr>
            <w:r>
              <w:rPr>
                <w:sz w:val="24"/>
                <w:szCs w:val="24"/>
              </w:rPr>
              <w:t>_____________________/_____________</w:t>
            </w:r>
          </w:p>
          <w:p>
            <w:pPr>
              <w:pStyle w:val="Normal"/>
              <w:widowControl w:val="false"/>
              <w:spacing w:lineRule="auto" w:line="360"/>
              <w:rPr>
                <w:sz w:val="24"/>
                <w:szCs w:val="24"/>
              </w:rPr>
            </w:pPr>
            <w:r>
              <w:rPr>
                <w:sz w:val="24"/>
                <w:szCs w:val="24"/>
              </w:rPr>
            </w:r>
          </w:p>
        </w:tc>
        <w:tc>
          <w:tcPr>
            <w:tcW w:w="4819" w:type="dxa"/>
            <w:tcBorders/>
            <w:shd w:color="auto" w:fill="auto" w:val="clear"/>
          </w:tcPr>
          <w:p>
            <w:pPr>
              <w:pStyle w:val="Normal"/>
              <w:widowControl w:val="false"/>
              <w:rPr>
                <w:b/>
                <w:sz w:val="24"/>
                <w:szCs w:val="24"/>
              </w:rPr>
            </w:pPr>
            <w:r>
              <w:rPr>
                <w:b/>
                <w:sz w:val="24"/>
                <w:szCs w:val="24"/>
              </w:rPr>
              <w:t>Поставщик:</w:t>
            </w:r>
          </w:p>
          <w:p>
            <w:pPr>
              <w:pStyle w:val="Normal"/>
              <w:widowControl w:val="false"/>
              <w:spacing w:lineRule="auto" w:line="360"/>
              <w:rPr>
                <w:sz w:val="24"/>
                <w:szCs w:val="24"/>
              </w:rPr>
            </w:pPr>
            <w:r>
              <w:rPr>
                <w:sz w:val="24"/>
                <w:szCs w:val="24"/>
              </w:rPr>
            </w:r>
          </w:p>
          <w:p>
            <w:pPr>
              <w:pStyle w:val="Normal"/>
              <w:widowControl w:val="false"/>
              <w:spacing w:lineRule="auto" w:line="360"/>
              <w:rPr>
                <w:sz w:val="24"/>
                <w:szCs w:val="24"/>
              </w:rPr>
            </w:pPr>
            <w:r>
              <w:rPr>
                <w:sz w:val="24"/>
                <w:szCs w:val="24"/>
              </w:rPr>
              <w:t>_____________________/_____________</w:t>
            </w:r>
          </w:p>
          <w:p>
            <w:pPr>
              <w:pStyle w:val="Normal"/>
              <w:widowControl w:val="false"/>
              <w:spacing w:lineRule="auto" w:line="360"/>
              <w:ind w:firstLine="33"/>
              <w:rPr>
                <w:b/>
                <w:sz w:val="24"/>
                <w:szCs w:val="24"/>
              </w:rPr>
            </w:pPr>
            <w:r>
              <w:rPr>
                <w:b/>
                <w:sz w:val="24"/>
                <w:szCs w:val="24"/>
              </w:rPr>
            </w:r>
          </w:p>
        </w:tc>
      </w:tr>
    </w:tbl>
    <w:p>
      <w:pPr>
        <w:pStyle w:val="Normal"/>
        <w:suppressAutoHyphens w:val="true"/>
        <w:ind w:right="96" w:firstLine="6237"/>
        <w:rPr>
          <w:sz w:val="24"/>
          <w:szCs w:val="24"/>
        </w:rPr>
      </w:pPr>
      <w:r>
        <w:rPr>
          <w:sz w:val="24"/>
          <w:szCs w:val="24"/>
        </w:rPr>
      </w:r>
    </w:p>
    <w:p>
      <w:pPr>
        <w:pStyle w:val="Normal"/>
        <w:widowControl/>
        <w:rPr>
          <w:sz w:val="24"/>
          <w:szCs w:val="24"/>
        </w:rPr>
      </w:pPr>
      <w:r>
        <w:rPr>
          <w:sz w:val="24"/>
          <w:szCs w:val="24"/>
        </w:rPr>
      </w:r>
      <w:r>
        <w:br w:type="page"/>
      </w:r>
    </w:p>
    <w:p>
      <w:pPr>
        <w:pStyle w:val="Normal"/>
        <w:suppressAutoHyphens w:val="true"/>
        <w:ind w:right="96" w:firstLine="5529"/>
        <w:rPr>
          <w:sz w:val="22"/>
          <w:szCs w:val="22"/>
        </w:rPr>
      </w:pPr>
      <w:r>
        <w:rPr>
          <w:sz w:val="22"/>
          <w:szCs w:val="22"/>
        </w:rPr>
      </w:r>
    </w:p>
    <w:p>
      <w:pPr>
        <w:pStyle w:val="Normal"/>
        <w:suppressAutoHyphens w:val="true"/>
        <w:ind w:right="96" w:hanging="0"/>
        <w:rPr>
          <w:sz w:val="22"/>
          <w:szCs w:val="22"/>
        </w:rPr>
      </w:pPr>
      <w:r>
        <w:rPr>
          <w:sz w:val="22"/>
          <w:szCs w:val="22"/>
        </w:rPr>
        <w:tab/>
        <w:tab/>
        <w:tab/>
        <w:tab/>
        <w:tab/>
        <w:tab/>
        <w:tab/>
        <w:t xml:space="preserve">          Приложение № 3</w:t>
      </w:r>
    </w:p>
    <w:p>
      <w:pPr>
        <w:pStyle w:val="Normal"/>
        <w:suppressAutoHyphens w:val="true"/>
        <w:ind w:right="96" w:firstLine="5529"/>
        <w:rPr>
          <w:sz w:val="22"/>
          <w:szCs w:val="22"/>
        </w:rPr>
      </w:pPr>
      <w:r>
        <w:rPr>
          <w:sz w:val="22"/>
          <w:szCs w:val="22"/>
        </w:rPr>
        <w:t>к Договору поставки</w:t>
      </w:r>
    </w:p>
    <w:p>
      <w:pPr>
        <w:pStyle w:val="Normal"/>
        <w:ind w:firstLine="5529"/>
        <w:rPr>
          <w:bCs/>
          <w:sz w:val="24"/>
          <w:szCs w:val="24"/>
        </w:rPr>
      </w:pPr>
      <w:r>
        <w:rPr>
          <w:sz w:val="22"/>
          <w:szCs w:val="22"/>
        </w:rPr>
        <w:t>от «____» __________ 20 _ г.</w:t>
      </w:r>
      <w:r>
        <w:rPr>
          <w:sz w:val="24"/>
          <w:szCs w:val="24"/>
        </w:rPr>
        <w:t xml:space="preserve"> № _____</w:t>
      </w:r>
    </w:p>
    <w:p>
      <w:pPr>
        <w:pStyle w:val="Normal"/>
        <w:widowControl/>
        <w:shd w:val="clear" w:color="auto" w:fill="FFFFFF"/>
        <w:tabs>
          <w:tab w:val="clear" w:pos="709"/>
          <w:tab w:val="left" w:pos="1418" w:leader="none"/>
        </w:tabs>
        <w:spacing w:before="0" w:after="0"/>
        <w:contextualSpacing/>
        <w:jc w:val="center"/>
        <w:rPr>
          <w:bCs/>
          <w:sz w:val="24"/>
          <w:szCs w:val="24"/>
        </w:rPr>
      </w:pPr>
      <w:r>
        <w:rPr>
          <w:bCs/>
          <w:sz w:val="24"/>
          <w:szCs w:val="24"/>
        </w:rPr>
      </w:r>
    </w:p>
    <w:p>
      <w:pPr>
        <w:pStyle w:val="Normal"/>
        <w:widowControl/>
        <w:suppressAutoHyphens w:val="true"/>
        <w:spacing w:lineRule="auto" w:line="259"/>
        <w:rPr>
          <w:rFonts w:eastAsia="Calibri"/>
          <w:sz w:val="24"/>
          <w:szCs w:val="24"/>
          <w:lang w:eastAsia="en-US"/>
        </w:rPr>
      </w:pPr>
      <w:r>
        <w:rPr>
          <w:rFonts w:eastAsia="Calibri"/>
          <w:sz w:val="24"/>
          <w:szCs w:val="24"/>
          <w:lang w:eastAsia="en-US"/>
        </w:rPr>
      </w:r>
    </w:p>
    <w:p>
      <w:pPr>
        <w:pStyle w:val="Normal"/>
        <w:jc w:val="center"/>
        <w:rPr>
          <w:b/>
          <w:bCs/>
          <w:sz w:val="24"/>
          <w:szCs w:val="24"/>
        </w:rPr>
      </w:pPr>
      <w:r>
        <w:rPr>
          <w:b/>
          <w:bCs/>
          <w:sz w:val="24"/>
          <w:szCs w:val="24"/>
        </w:rPr>
        <w:t>Размер ответственности Поставщика за нарушения</w:t>
      </w:r>
    </w:p>
    <w:p>
      <w:pPr>
        <w:pStyle w:val="Normal"/>
        <w:jc w:val="center"/>
        <w:rPr>
          <w:b/>
          <w:bCs/>
          <w:sz w:val="24"/>
          <w:szCs w:val="24"/>
        </w:rPr>
      </w:pPr>
      <w:r>
        <w:rPr>
          <w:b/>
          <w:bCs/>
          <w:sz w:val="24"/>
          <w:szCs w:val="24"/>
        </w:rPr>
        <w:t>пропускного и внутриобъектового режима, требований охраны труда,</w:t>
      </w:r>
    </w:p>
    <w:p>
      <w:pPr>
        <w:pStyle w:val="Normal"/>
        <w:jc w:val="center"/>
        <w:rPr>
          <w:b/>
          <w:sz w:val="24"/>
          <w:szCs w:val="24"/>
        </w:rPr>
      </w:pPr>
      <w:r>
        <w:rPr>
          <w:b/>
          <w:bCs/>
          <w:sz w:val="24"/>
          <w:szCs w:val="24"/>
        </w:rPr>
        <w:t>пожарной и промышленной безопасности</w:t>
      </w:r>
    </w:p>
    <w:p>
      <w:pPr>
        <w:pStyle w:val="Normal"/>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noVBand="0" w:val="01e0" w:noHBand="0" w:lastColumn="1" w:firstColumn="1" w:lastRow="1" w:firstRow="1"/>
      </w:tblPr>
      <w:tblGrid>
        <w:gridCol w:w="3670"/>
        <w:gridCol w:w="5966"/>
      </w:tblGrid>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Виды нарушений</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Штрафные санкции</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1. Нарушение правил пожарной безопасности (ППБ):</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1.1. Нарушение ППБ без возникновения пожара</w:t>
            </w:r>
          </w:p>
          <w:p>
            <w:pPr>
              <w:pStyle w:val="Normal"/>
              <w:widowControl w:val="false"/>
              <w:jc w:val="both"/>
              <w:rPr>
                <w:b/>
                <w:sz w:val="24"/>
                <w:szCs w:val="24"/>
              </w:rPr>
            </w:pPr>
            <w:r>
              <w:rPr>
                <w:b/>
                <w:sz w:val="24"/>
                <w:szCs w:val="24"/>
              </w:rPr>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25 000 (Двадцать пять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50 000 (Пятьдесят тысяч) рублей за каждый случай нарушения.</w:t>
            </w:r>
          </w:p>
          <w:p>
            <w:pPr>
              <w:pStyle w:val="Normal"/>
              <w:widowControl w:val="false"/>
              <w:jc w:val="both"/>
              <w:rPr>
                <w:sz w:val="24"/>
                <w:szCs w:val="24"/>
              </w:rPr>
            </w:pPr>
            <w:r>
              <w:rPr>
                <w:sz w:val="24"/>
                <w:szCs w:val="24"/>
              </w:rPr>
              <w:t xml:space="preserve">Сумма штрафа, установленная настоящим пунктом, увеличивается на 100 (Сто) процентов по отношению </w:t>
              <w:br/>
              <w:t>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250 000 (Двести пятьдесят тысяч) рублей за каждый случай нарушения.</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- 50 000 (Пятьдесят тысяч) рублей за каждый случай нарушения;</w:t>
            </w:r>
          </w:p>
          <w:p>
            <w:pPr>
              <w:pStyle w:val="Normal"/>
              <w:widowControl w:val="false"/>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pPr>
              <w:pStyle w:val="Normal"/>
              <w:widowControl w:val="false"/>
              <w:jc w:val="both"/>
              <w:rPr>
                <w:sz w:val="24"/>
                <w:szCs w:val="24"/>
              </w:rPr>
            </w:pPr>
            <w:r>
              <w:rPr>
                <w:sz w:val="24"/>
                <w:szCs w:val="24"/>
              </w:rPr>
              <w:t xml:space="preserve">Сумма штрафа, установленная настоящим пунктом, увеличивается на 100 (Сто) процентов по отношению </w:t>
              <w:br/>
              <w:t>к предыдущему случаю за каждое следующее нарушение.</w:t>
            </w:r>
          </w:p>
        </w:tc>
      </w:tr>
    </w:tbl>
    <w:p>
      <w:pPr>
        <w:pStyle w:val="Normal"/>
        <w:ind w:left="5103" w:hanging="0"/>
        <w:rPr>
          <w:sz w:val="24"/>
          <w:szCs w:val="24"/>
        </w:rPr>
      </w:pPr>
      <w:r>
        <w:rPr>
          <w:sz w:val="24"/>
          <w:szCs w:val="24"/>
        </w:rPr>
      </w:r>
    </w:p>
    <w:p>
      <w:pPr>
        <w:pStyle w:val="Normal"/>
        <w:ind w:left="5103" w:hanging="0"/>
        <w:rPr>
          <w:sz w:val="24"/>
          <w:szCs w:val="24"/>
        </w:rPr>
      </w:pPr>
      <w:r>
        <w:rPr>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9815" w:type="dxa"/>
        <w:jc w:val="left"/>
        <w:tblInd w:w="-176" w:type="dxa"/>
        <w:tblLayout w:type="fixed"/>
        <w:tblCellMar>
          <w:top w:w="0" w:type="dxa"/>
          <w:left w:w="108" w:type="dxa"/>
          <w:bottom w:w="0" w:type="dxa"/>
          <w:right w:w="108" w:type="dxa"/>
        </w:tblCellMar>
        <w:tblLook w:noVBand="1" w:val="04a0" w:noHBand="0" w:lastColumn="0" w:firstColumn="1" w:lastRow="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spacing w:lineRule="auto" w:line="360"/>
              <w:rPr>
                <w:sz w:val="24"/>
                <w:szCs w:val="24"/>
              </w:rPr>
            </w:pPr>
            <w:r>
              <w:rPr>
                <w:sz w:val="24"/>
                <w:szCs w:val="24"/>
              </w:rPr>
            </w:r>
          </w:p>
          <w:p>
            <w:pPr>
              <w:pStyle w:val="Normal"/>
              <w:widowControl w:val="false"/>
              <w:spacing w:lineRule="auto" w:line="360"/>
              <w:rPr>
                <w:sz w:val="24"/>
                <w:szCs w:val="24"/>
              </w:rPr>
            </w:pPr>
            <w:r>
              <w:rPr>
                <w:sz w:val="24"/>
                <w:szCs w:val="24"/>
              </w:rPr>
              <w:t>_____________________/_____________</w:t>
            </w:r>
          </w:p>
          <w:p>
            <w:pPr>
              <w:pStyle w:val="Normal"/>
              <w:widowControl w:val="false"/>
              <w:spacing w:lineRule="auto" w:line="360"/>
              <w:rPr>
                <w:sz w:val="24"/>
                <w:szCs w:val="24"/>
              </w:rPr>
            </w:pPr>
            <w:r>
              <w:rPr>
                <w:sz w:val="24"/>
                <w:szCs w:val="24"/>
              </w:rPr>
            </w:r>
          </w:p>
        </w:tc>
        <w:tc>
          <w:tcPr>
            <w:tcW w:w="4819" w:type="dxa"/>
            <w:tcBorders/>
            <w:shd w:color="auto" w:fill="auto" w:val="clear"/>
          </w:tcPr>
          <w:p>
            <w:pPr>
              <w:pStyle w:val="Normal"/>
              <w:widowControl w:val="false"/>
              <w:ind w:firstLine="34"/>
              <w:rPr>
                <w:b/>
                <w:sz w:val="24"/>
                <w:szCs w:val="24"/>
              </w:rPr>
            </w:pPr>
            <w:r>
              <w:rPr>
                <w:b/>
                <w:sz w:val="24"/>
                <w:szCs w:val="24"/>
              </w:rPr>
              <w:t>Поставщик:</w:t>
            </w:r>
          </w:p>
          <w:p>
            <w:pPr>
              <w:pStyle w:val="Normal"/>
              <w:widowControl w:val="false"/>
              <w:spacing w:lineRule="auto" w:line="360"/>
              <w:rPr>
                <w:sz w:val="24"/>
                <w:szCs w:val="24"/>
              </w:rPr>
            </w:pPr>
            <w:r>
              <w:rPr>
                <w:sz w:val="24"/>
                <w:szCs w:val="24"/>
              </w:rPr>
            </w:r>
          </w:p>
          <w:p>
            <w:pPr>
              <w:pStyle w:val="Normal"/>
              <w:widowControl w:val="false"/>
              <w:spacing w:lineRule="auto" w:line="360"/>
              <w:rPr>
                <w:sz w:val="24"/>
                <w:szCs w:val="24"/>
              </w:rPr>
            </w:pPr>
            <w:r>
              <w:rPr>
                <w:sz w:val="24"/>
                <w:szCs w:val="24"/>
              </w:rPr>
              <w:t>_____________________/_____________</w:t>
            </w:r>
          </w:p>
          <w:p>
            <w:pPr>
              <w:pStyle w:val="Normal"/>
              <w:widowControl w:val="false"/>
              <w:spacing w:lineRule="auto" w:line="360"/>
              <w:ind w:firstLine="33"/>
              <w:rPr>
                <w:b/>
                <w:sz w:val="24"/>
                <w:szCs w:val="24"/>
              </w:rPr>
            </w:pPr>
            <w:r>
              <w:rPr>
                <w:b/>
                <w:sz w:val="24"/>
                <w:szCs w:val="24"/>
              </w:rPr>
            </w:r>
          </w:p>
        </w:tc>
      </w:tr>
    </w:tbl>
    <w:p>
      <w:pPr>
        <w:pStyle w:val="Normal"/>
        <w:ind w:left="5103" w:hanging="0"/>
        <w:rPr>
          <w:b/>
          <w:bCs/>
          <w:sz w:val="24"/>
          <w:szCs w:val="24"/>
        </w:rPr>
      </w:pPr>
      <w:r>
        <w:rPr>
          <w:b/>
          <w:bCs/>
          <w:sz w:val="24"/>
          <w:szCs w:val="24"/>
        </w:rPr>
      </w:r>
    </w:p>
    <w:p>
      <w:pPr>
        <w:pStyle w:val="Normal"/>
        <w:widowControl/>
        <w:rPr>
          <w:b/>
          <w:bCs/>
          <w:sz w:val="24"/>
          <w:szCs w:val="24"/>
        </w:rPr>
      </w:pPr>
      <w:r>
        <w:rPr/>
      </w:r>
    </w:p>
    <w:sectPr>
      <w:headerReference w:type="default" r:id="rId8"/>
      <w:headerReference w:type="first" r:id="rId9"/>
      <w:footerReference w:type="default" r:id="rId10"/>
      <w:footerReference w:type="first" r:id="rId11"/>
      <w:footnotePr>
        <w:numFmt w:val="decimal"/>
      </w:footnotePr>
      <w:type w:val="nextPage"/>
      <w:pgSz w:w="11906" w:h="16838"/>
      <w:pgMar w:left="1418" w:right="851" w:gutter="0" w:header="567" w:top="1134" w:footer="314" w:bottom="85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roman"/>
    <w:pitch w:val="variable"/>
  </w:font>
  <w:font w:name="Courier New">
    <w:charset w:val="01"/>
    <w:family w:val="roman"/>
    <w:pitch w:val="variable"/>
  </w:font>
  <w:font w:name="Tahoma">
    <w:charset w:val="01"/>
    <w:family w:val="roman"/>
    <w:pitch w:val="variable"/>
  </w:font>
  <w:font w:name="Verdana">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17</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20</w:t>
    </w:r>
    <w:r>
      <w:rPr>
        <w:sz w:val="24"/>
        <w:szCs w:val="24"/>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14"/>
        </w:rPr>
        <w:footnoteRef/>
      </w:r>
      <w:r>
        <w:rPr/>
        <w:t xml:space="preserve"> </w:t>
      </w:r>
      <w:r>
        <w:rPr/>
        <w:t>Для договоров, заключенных в рамках операционной (текущей) деятельности Общества.</w:t>
      </w:r>
    </w:p>
  </w:footnote>
  <w:footnote w:id="3">
    <w:p>
      <w:pPr>
        <w:pStyle w:val="FootnoteText"/>
        <w:jc w:val="both"/>
        <w:rPr/>
      </w:pPr>
      <w:r>
        <w:rPr>
          <w:rStyle w:val="Style14"/>
        </w:rPr>
        <w:footnoteRef/>
      </w:r>
      <w:r>
        <w:rPr/>
        <w:t xml:space="preserve"> </w:t>
      </w:r>
      <w:r>
        <w:rPr/>
        <w:t>В случае, если Контрагент – МСП и применяется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pPr>
        <w:pStyle w:val="FootnoteText"/>
        <w:jc w:val="both"/>
        <w:rPr/>
      </w:pPr>
      <w:r>
        <w:rPr>
          <w:rStyle w:val="Style14"/>
        </w:rPr>
        <w:footnoteRef/>
      </w:r>
      <w:r>
        <w:rPr/>
        <w:t xml:space="preserve"> </w:t>
      </w:r>
      <w:r>
        <w:rPr/>
        <w:t xml:space="preserve">Указанное условие включается в Договор, если Договором предусмотрена поставка оборудования, входящего в перечень, утвержденный приказом Минпромторга России от 22.02.2022 № 544 «Об утверждении перечня оборудования, эксплуатируемого по итогам реализации проектов по модернизации, реконструкции или строительству генерирующих объектов тепловых электростанций, включенных в перечень генерирующих объектов тепловых электростанций, подлежащих модернизации (реконструкции) или строительству </w:t>
        <w:br/>
        <w:t>в неценовых зонах оптового рынка электрической энергии и мощности, в отношении которого необходимо получить заключение о подтверждении производства промышленной продукции на территории Российской Федерации» (или заменяющим его документом).</w:t>
      </w:r>
    </w:p>
  </w:footnote>
  <w:footnote w:id="5">
    <w:p>
      <w:pPr>
        <w:pStyle w:val="FootnoteText"/>
        <w:jc w:val="both"/>
        <w:rPr/>
      </w:pPr>
      <w:r>
        <w:rPr>
          <w:rStyle w:val="Style14"/>
        </w:rPr>
        <w:footnoteRef/>
      </w:r>
      <w:r>
        <w:rPr/>
        <w:t xml:space="preserve"> </w:t>
      </w:r>
      <w:r>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t>.</w:t>
      </w:r>
    </w:p>
  </w:footnote>
  <w:footnote w:id="6">
    <w:p>
      <w:pPr>
        <w:pStyle w:val="FootnoteText"/>
        <w:jc w:val="both"/>
        <w:rPr/>
      </w:pPr>
      <w:r>
        <w:rPr>
          <w:rStyle w:val="Style14"/>
        </w:rPr>
        <w:footnoteRef/>
      </w:r>
      <w:r>
        <w:rPr/>
        <w:t xml:space="preserve"> </w:t>
      </w:r>
      <w:r>
        <w:rPr/>
        <w:t>В случае если Поставщик является СМП, уступка (передача) им прав (требований) к Покупателю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Покупателя, в котором не может быть необоснованно отказано.</w:t>
      </w:r>
    </w:p>
  </w:footnote>
  <w:footnote w:id="7">
    <w:p>
      <w:pPr>
        <w:pStyle w:val="FootnoteText"/>
        <w:jc w:val="both"/>
        <w:rPr/>
      </w:pPr>
      <w:r>
        <w:rPr>
          <w:rStyle w:val="Style14"/>
        </w:rPr>
        <w:footnoteRef/>
      </w:r>
      <w:r>
        <w:rPr/>
        <w:t xml:space="preserve"> </w:t>
      </w:r>
      <w:r>
        <w:rPr/>
        <w:t xml:space="preserve">В соответствии с Общероссийским классификатором стран мира (утв. постановлением Госстандарта России </w:t>
        <w:br/>
        <w:t>от 14.12.2001 № 529-ст).</w:t>
      </w:r>
    </w:p>
  </w:footnote>
  <w:footnote w:id="8">
    <w:p>
      <w:pPr>
        <w:pStyle w:val="FootnoteText"/>
        <w:jc w:val="both"/>
        <w:rPr/>
      </w:pPr>
      <w:r>
        <w:rPr>
          <w:rStyle w:val="Style14"/>
        </w:rPr>
        <w:footnoteRef/>
      </w:r>
      <w:r>
        <w:rPr/>
        <w:t xml:space="preserve"> </w:t>
      </w:r>
      <w:r>
        <w:rPr>
          <w:bCs/>
        </w:rPr>
        <w:t>Порядковый номер (номера) реестровой записи (реестровых записей), под которой (которыми) Товар  включен</w:t>
      </w:r>
      <w:bookmarkStart w:id="10" w:name="_GoBack_Копия_1_Копия_1_Копия_1_Копия_1_"/>
      <w:bookmarkEnd w:id="10"/>
      <w:r>
        <w:rPr>
          <w:bCs/>
        </w:rPr>
        <w:t xml:space="preserve"> в реестры, предусмотренные пунктом 3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r>
        <w:rPr>
          <w:rFonts w:eastAsia="Calibri" w:eastAsiaTheme="minorHAnsi"/>
          <w:lang w:eastAsia="en-US"/>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875" w:leader="none"/>
        <w:tab w:val="center" w:pos="4153" w:leader="none"/>
        <w:tab w:val="right" w:pos="8364" w:leader="none"/>
      </w:tabs>
      <w:ind w:left="8364" w:hanging="426"/>
      <w:rPr>
        <w:i/>
        <w:i/>
      </w:rPr>
    </w:pPr>
    <w:r>
      <w:rPr>
        <w:i/>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851"/>
        </w:tabs>
        <w:ind w:left="1851" w:hanging="432"/>
      </w:pPr>
      <w:rPr>
        <w:sz w:val="24"/>
        <w:b w:val="false"/>
        <w:szCs w:val="24"/>
      </w:rPr>
    </w:lvl>
    <w:lvl w:ilvl="2">
      <w:start w:val="1"/>
      <w:numFmt w:val="decimal"/>
      <w:lvlText w:val="%1.%2.%3."/>
      <w:lvlJc w:val="left"/>
      <w:pPr>
        <w:tabs>
          <w:tab w:val="num" w:pos="1855"/>
        </w:tabs>
        <w:ind w:left="1639" w:hanging="504"/>
      </w:pPr>
      <w:rPr>
        <w:sz w:val="24"/>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writeProtection w:cryptProviderType="rsaAES" w:cryptAlgorithmClass="hash" w:cryptAlgorithmType="typeAny" w:cryptAlgorithmSid="14" w:cryptSpinCount="100000" w:hash="s59ZUBzhMNXXLg6Uf5+bAk7kZasmFZfTFBYixKn8W0nmpPszrSKdWpEgL6270PkKBNiE3lrhV0WlDNlumB+gZA==" w:salt="buteRiMWIsrRPa3mPhTjJA=="/>
  <w:zoom w:percent="102"/>
  <w:revisionView w:insDel="0" w:formatting="0"/>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trackedChanges"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uiPriority="99"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b206e"/>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rsid w:val="00a264b0"/>
    <w:pPr>
      <w:keepNext w:val="true"/>
      <w:spacing w:before="240" w:after="60"/>
      <w:outlineLvl w:val="0"/>
    </w:pPr>
    <w:rPr>
      <w:rFonts w:ascii="Arial" w:hAnsi="Arial" w:cs="Arial"/>
      <w:b/>
      <w:bCs/>
      <w:kern w:val="2"/>
      <w:sz w:val="32"/>
      <w:szCs w:val="32"/>
    </w:rPr>
  </w:style>
  <w:style w:type="paragraph" w:styleId="Heading3">
    <w:name w:val="Heading 3"/>
    <w:basedOn w:val="Normal"/>
    <w:next w:val="Normal"/>
    <w:link w:val="31"/>
    <w:qFormat/>
    <w:rsid w:val="001b1bd9"/>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Style7" w:customStyle="1">
    <w:name w:val="Заголовок Знак"/>
    <w:qFormat/>
    <w:locked/>
    <w:rsid w:val="00565582"/>
    <w:rPr>
      <w:b/>
      <w:bCs/>
      <w:sz w:val="24"/>
      <w:szCs w:val="24"/>
      <w:lang w:val="ru-RU" w:eastAsia="ru-RU" w:bidi="ar-SA"/>
    </w:rPr>
  </w:style>
  <w:style w:type="character" w:styleId="Style8" w:customStyle="1">
    <w:name w:val="Основной текст Знак"/>
    <w:qFormat/>
    <w:rsid w:val="00565582"/>
    <w:rPr>
      <w:lang w:val="ru-RU" w:eastAsia="ru-RU" w:bidi="ar-SA"/>
    </w:rPr>
  </w:style>
  <w:style w:type="character" w:styleId="Pagenumber">
    <w:name w:val="page number"/>
    <w:basedOn w:val="DefaultParagraphFont"/>
    <w:qFormat/>
    <w:rsid w:val="008b02a1"/>
    <w:rPr/>
  </w:style>
  <w:style w:type="character" w:styleId="3" w:customStyle="1">
    <w:name w:val="Основной текст 3 Знак"/>
    <w:link w:val="BodyText3"/>
    <w:qFormat/>
    <w:rsid w:val="005a0965"/>
    <w:rPr>
      <w:sz w:val="16"/>
      <w:szCs w:val="16"/>
    </w:rPr>
  </w:style>
  <w:style w:type="character" w:styleId="Annotationreference">
    <w:name w:val="annotation reference"/>
    <w:qFormat/>
    <w:rsid w:val="00d36934"/>
    <w:rPr>
      <w:sz w:val="16"/>
      <w:szCs w:val="16"/>
    </w:rPr>
  </w:style>
  <w:style w:type="character" w:styleId="Style9" w:customStyle="1">
    <w:name w:val="Текст примечания Знак"/>
    <w:basedOn w:val="DefaultParagraphFont"/>
    <w:link w:val="Annotationtext"/>
    <w:qFormat/>
    <w:rsid w:val="00d36934"/>
    <w:rPr/>
  </w:style>
  <w:style w:type="character" w:styleId="Style10" w:customStyle="1">
    <w:name w:val="Тема примечания Знак"/>
    <w:link w:val="Annotationsubject"/>
    <w:uiPriority w:val="99"/>
    <w:qFormat/>
    <w:rsid w:val="00d36934"/>
    <w:rPr>
      <w:b/>
      <w:bCs/>
    </w:rPr>
  </w:style>
  <w:style w:type="character" w:styleId="31" w:customStyle="1">
    <w:name w:val="Заголовок 3 Знак"/>
    <w:semiHidden/>
    <w:qFormat/>
    <w:rsid w:val="001b1bd9"/>
    <w:rPr>
      <w:rFonts w:ascii="Cambria" w:hAnsi="Cambria" w:eastAsia="Times New Roman" w:cs="Times New Roman"/>
      <w:b/>
      <w:bCs/>
      <w:color w:val="4F81BD"/>
    </w:rPr>
  </w:style>
  <w:style w:type="character" w:styleId="Style11" w:customStyle="1">
    <w:name w:val="Основной текст с отступом Знак"/>
    <w:basedOn w:val="DefaultParagraphFont"/>
    <w:qFormat/>
    <w:rsid w:val="00e00bca"/>
    <w:rPr/>
  </w:style>
  <w:style w:type="character" w:styleId="Style12" w:customStyle="1">
    <w:name w:val="комментарий"/>
    <w:uiPriority w:val="99"/>
    <w:qFormat/>
    <w:rsid w:val="00d562c0"/>
    <w:rPr>
      <w:rFonts w:cs="Times New Roman"/>
      <w:b/>
      <w:bCs/>
      <w:i/>
      <w:iCs/>
      <w:shd w:fill="FFFF99" w:val="clear"/>
    </w:rPr>
  </w:style>
  <w:style w:type="character" w:styleId="Style13" w:customStyle="1">
    <w:name w:val="Текст сноски Знак"/>
    <w:basedOn w:val="DefaultParagraphFont"/>
    <w:uiPriority w:val="99"/>
    <w:qFormat/>
    <w:rsid w:val="00f47c6a"/>
    <w:rPr/>
  </w:style>
  <w:style w:type="character" w:styleId="Style14">
    <w:name w:val="Символ сноски"/>
    <w:uiPriority w:val="99"/>
    <w:qFormat/>
    <w:rsid w:val="00f47c6a"/>
    <w:rPr>
      <w:vertAlign w:val="superscript"/>
    </w:rPr>
  </w:style>
  <w:style w:type="character" w:styleId="FootnoteReference">
    <w:name w:val="Footnote Reference"/>
    <w:rPr>
      <w:vertAlign w:val="superscript"/>
    </w:rPr>
  </w:style>
  <w:style w:type="character" w:styleId="Style15" w:customStyle="1">
    <w:name w:val="Верхний колонтитул Знак"/>
    <w:basedOn w:val="DefaultParagraphFont"/>
    <w:uiPriority w:val="99"/>
    <w:qFormat/>
    <w:rsid w:val="000449a5"/>
    <w:rPr/>
  </w:style>
  <w:style w:type="character" w:styleId="Hyperlink">
    <w:name w:val="Hyperlink"/>
    <w:rsid w:val="005e6f32"/>
    <w:rPr>
      <w:color w:val="0000FF"/>
      <w:u w:val="single"/>
    </w:rPr>
  </w:style>
  <w:style w:type="character" w:styleId="Style16" w:customStyle="1">
    <w:name w:val="Нижний колонтитул Знак"/>
    <w:uiPriority w:val="99"/>
    <w:qFormat/>
    <w:rsid w:val="00d925fb"/>
    <w:rPr/>
  </w:style>
  <w:style w:type="character" w:styleId="Style17" w:customStyle="1">
    <w:name w:val="Абзац списка Знак"/>
    <w:link w:val="ListParagraph"/>
    <w:uiPriority w:val="34"/>
    <w:qFormat/>
    <w:locked/>
    <w:rsid w:val="00182860"/>
    <w:rPr/>
  </w:style>
  <w:style w:type="character" w:styleId="LineNumber">
    <w:name w:val="Line Number"/>
    <w:rPr/>
  </w:style>
  <w:style w:type="character" w:styleId="Style18">
    <w:name w:val="Символ концевой сноски"/>
    <w:qFormat/>
    <w:rPr>
      <w:vertAlign w:val="superscript"/>
    </w:rPr>
  </w:style>
  <w:style w:type="character" w:styleId="EndnoteReference">
    <w:name w:val="Endnote Reference"/>
    <w:rPr>
      <w:vertAlign w:val="superscript"/>
    </w:rPr>
  </w:style>
  <w:style w:type="character" w:styleId="FollowedHyperlink">
    <w:name w:val="FollowedHyperlink"/>
    <w:rPr>
      <w:color w:val="800000"/>
      <w:u w:val="single"/>
    </w:rPr>
  </w:style>
  <w:style w:type="paragraph" w:styleId="Style19">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8"/>
    <w:rsid w:val="00084bde"/>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0">
    <w:name w:val="Указатель"/>
    <w:basedOn w:val="Normal"/>
    <w:qFormat/>
    <w:pPr>
      <w:suppressLineNumbers/>
    </w:pPr>
    <w:rPr/>
  </w:style>
  <w:style w:type="paragraph" w:styleId="Title">
    <w:name w:val="Title"/>
    <w:basedOn w:val="Normal"/>
    <w:link w:val="Style7"/>
    <w:qFormat/>
    <w:rsid w:val="00a264b0"/>
    <w:pPr>
      <w:jc w:val="center"/>
    </w:pPr>
    <w:rPr>
      <w:b/>
      <w:bCs/>
      <w:sz w:val="24"/>
      <w:szCs w:val="24"/>
    </w:rPr>
  </w:style>
  <w:style w:type="paragraph" w:styleId="Style21" w:customStyle="1">
    <w:name w:val="Таблицы (моноширинный)"/>
    <w:basedOn w:val="Normal"/>
    <w:next w:val="Normal"/>
    <w:qFormat/>
    <w:rsid w:val="00a264b0"/>
    <w:pPr>
      <w:jc w:val="both"/>
    </w:pPr>
    <w:rPr>
      <w:rFonts w:ascii="Courier New" w:hAnsi="Courier New" w:cs="Courier New"/>
    </w:rPr>
  </w:style>
  <w:style w:type="paragraph" w:styleId="BodyTextIndent2">
    <w:name w:val="Body Text Indent 2"/>
    <w:basedOn w:val="Normal"/>
    <w:qFormat/>
    <w:rsid w:val="00a264b0"/>
    <w:pPr>
      <w:ind w:left="1843" w:hanging="0"/>
      <w:jc w:val="both"/>
    </w:pPr>
    <w:rPr>
      <w:sz w:val="24"/>
    </w:rPr>
  </w:style>
  <w:style w:type="paragraph" w:styleId="BalloonText">
    <w:name w:val="Balloon Text"/>
    <w:basedOn w:val="Normal"/>
    <w:semiHidden/>
    <w:qFormat/>
    <w:rsid w:val="00080acb"/>
    <w:pPr/>
    <w:rPr>
      <w:rFonts w:ascii="Tahoma" w:hAnsi="Tahoma" w:cs="Tahoma"/>
      <w:sz w:val="16"/>
      <w:szCs w:val="16"/>
    </w:rPr>
  </w:style>
  <w:style w:type="paragraph" w:styleId="BodyText2">
    <w:name w:val="Body Text 2"/>
    <w:basedOn w:val="Normal"/>
    <w:qFormat/>
    <w:rsid w:val="006257f9"/>
    <w:pPr>
      <w:widowControl/>
      <w:spacing w:lineRule="auto" w:line="480" w:before="0" w:after="120"/>
    </w:pPr>
    <w:rPr>
      <w:sz w:val="24"/>
      <w:szCs w:val="24"/>
    </w:rPr>
  </w:style>
  <w:style w:type="paragraph" w:styleId="Style22">
    <w:name w:val="Колонтитул"/>
    <w:basedOn w:val="Normal"/>
    <w:qFormat/>
    <w:pPr/>
    <w:rPr/>
  </w:style>
  <w:style w:type="paragraph" w:styleId="Footer">
    <w:name w:val="Footer"/>
    <w:basedOn w:val="Normal"/>
    <w:link w:val="Style16"/>
    <w:uiPriority w:val="99"/>
    <w:rsid w:val="008b02a1"/>
    <w:pPr>
      <w:tabs>
        <w:tab w:val="clear" w:pos="709"/>
        <w:tab w:val="center" w:pos="4677" w:leader="none"/>
        <w:tab w:val="right" w:pos="9355" w:leader="none"/>
      </w:tabs>
    </w:pPr>
    <w:rPr/>
  </w:style>
  <w:style w:type="paragraph" w:styleId="BodyText3">
    <w:name w:val="Body Text 3"/>
    <w:basedOn w:val="Normal"/>
    <w:link w:val="3"/>
    <w:qFormat/>
    <w:rsid w:val="005a0965"/>
    <w:pPr>
      <w:spacing w:before="0" w:after="120"/>
    </w:pPr>
    <w:rPr>
      <w:sz w:val="16"/>
      <w:szCs w:val="16"/>
      <w:lang w:val="x-none" w:eastAsia="x-none"/>
    </w:rPr>
  </w:style>
  <w:style w:type="paragraph" w:styleId="Annotationtext">
    <w:name w:val="annotation text"/>
    <w:basedOn w:val="Normal"/>
    <w:link w:val="Style9"/>
    <w:qFormat/>
    <w:rsid w:val="00d36934"/>
    <w:pPr/>
    <w:rPr/>
  </w:style>
  <w:style w:type="paragraph" w:styleId="Annotationsubject">
    <w:name w:val="annotation subject"/>
    <w:basedOn w:val="Annotationtext"/>
    <w:next w:val="Annotationtext"/>
    <w:link w:val="Style10"/>
    <w:uiPriority w:val="99"/>
    <w:qFormat/>
    <w:rsid w:val="00d36934"/>
    <w:pPr/>
    <w:rPr>
      <w:b/>
      <w:bCs/>
      <w:lang w:val="x-none" w:eastAsia="x-none"/>
    </w:rPr>
  </w:style>
  <w:style w:type="paragraph" w:styleId="ListParagraph">
    <w:name w:val="List Paragraph"/>
    <w:basedOn w:val="Normal"/>
    <w:link w:val="Style17"/>
    <w:uiPriority w:val="34"/>
    <w:qFormat/>
    <w:rsid w:val="00ec6e7d"/>
    <w:pPr>
      <w:spacing w:before="0" w:after="0"/>
      <w:ind w:left="720" w:hanging="0"/>
      <w:contextualSpacing/>
    </w:pPr>
    <w:rPr/>
  </w:style>
  <w:style w:type="paragraph" w:styleId="Style23" w:customStyle="1">
    <w:name w:val="Знак Знак Знак Знак Знак Знак Знак Знак Знак"/>
    <w:basedOn w:val="Normal"/>
    <w:uiPriority w:val="99"/>
    <w:qFormat/>
    <w:rsid w:val="00d31bfd"/>
    <w:pPr>
      <w:widowControl/>
      <w:spacing w:lineRule="exact" w:line="240" w:before="0" w:after="160"/>
      <w:jc w:val="both"/>
    </w:pPr>
    <w:rPr>
      <w:rFonts w:ascii="Verdana" w:hAnsi="Verdana"/>
      <w:sz w:val="22"/>
      <w:lang w:val="en-US" w:eastAsia="en-US"/>
    </w:rPr>
  </w:style>
  <w:style w:type="paragraph" w:styleId="Style24" w:customStyle="1">
    <w:name w:val="Подпункт договора"/>
    <w:basedOn w:val="Normal"/>
    <w:qFormat/>
    <w:rsid w:val="00d31bfd"/>
    <w:pPr>
      <w:widowControl/>
      <w:tabs>
        <w:tab w:val="clear" w:pos="709"/>
        <w:tab w:val="left" w:pos="360" w:leader="none"/>
      </w:tabs>
      <w:jc w:val="both"/>
    </w:pPr>
    <w:rPr>
      <w:rFonts w:ascii="Arial" w:hAnsi="Arial"/>
    </w:rPr>
  </w:style>
  <w:style w:type="paragraph" w:styleId="ConsNormal" w:customStyle="1">
    <w:name w:val="ConsNormal"/>
    <w:qFormat/>
    <w:rsid w:val="00b53021"/>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11"/>
    <w:rsid w:val="00e00bca"/>
    <w:pPr>
      <w:spacing w:before="0" w:after="120"/>
      <w:ind w:left="283" w:hanging="0"/>
    </w:pPr>
    <w:rPr/>
  </w:style>
  <w:style w:type="paragraph" w:styleId="Style25" w:customStyle="1">
    <w:name w:val="Знак"/>
    <w:basedOn w:val="Normal"/>
    <w:qFormat/>
    <w:rsid w:val="00d562c0"/>
    <w:pPr>
      <w:widowControl/>
      <w:spacing w:lineRule="exact" w:line="240" w:before="0" w:after="160"/>
    </w:pPr>
    <w:rPr>
      <w:rFonts w:ascii="Verdana" w:hAnsi="Verdana" w:cs="Verdana"/>
      <w:lang w:val="en-US" w:eastAsia="en-US"/>
    </w:rPr>
  </w:style>
  <w:style w:type="paragraph" w:styleId="FootnoteText">
    <w:name w:val="Footnote Text"/>
    <w:basedOn w:val="Normal"/>
    <w:link w:val="Style13"/>
    <w:uiPriority w:val="99"/>
    <w:rsid w:val="00f47c6a"/>
    <w:pPr/>
    <w:rPr/>
  </w:style>
  <w:style w:type="paragraph" w:styleId="ListBullet3">
    <w:name w:val="List Bullet 3"/>
    <w:basedOn w:val="Normal"/>
    <w:uiPriority w:val="99"/>
    <w:unhideWhenUsed/>
    <w:qFormat/>
    <w:rsid w:val="00fa3bf9"/>
    <w:pPr>
      <w:widowControl/>
      <w:tabs>
        <w:tab w:val="clear" w:pos="709"/>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fa3bf9"/>
    <w:pPr>
      <w:widowControl/>
      <w:tabs>
        <w:tab w:val="clear" w:pos="709"/>
        <w:tab w:val="left" w:pos="851" w:leader="none"/>
      </w:tabs>
      <w:spacing w:lineRule="auto" w:line="360"/>
      <w:ind w:left="851" w:hanging="851"/>
      <w:jc w:val="both"/>
    </w:pPr>
    <w:rPr>
      <w:rFonts w:eastAsia="Calibri"/>
      <w:sz w:val="28"/>
      <w:szCs w:val="28"/>
    </w:rPr>
  </w:style>
  <w:style w:type="paragraph" w:styleId="DocumentMap">
    <w:name w:val="Document Map"/>
    <w:basedOn w:val="Normal"/>
    <w:semiHidden/>
    <w:qFormat/>
    <w:rsid w:val="00936d2a"/>
    <w:pPr>
      <w:shd w:val="clear" w:color="auto" w:fill="000080"/>
    </w:pPr>
    <w:rPr>
      <w:rFonts w:ascii="Tahoma" w:hAnsi="Tahoma" w:cs="Tahoma"/>
    </w:rPr>
  </w:style>
  <w:style w:type="paragraph" w:styleId="Revision">
    <w:name w:val="Revision"/>
    <w:uiPriority w:val="99"/>
    <w:semiHidden/>
    <w:qFormat/>
    <w:rsid w:val="00f2582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5"/>
    <w:uiPriority w:val="99"/>
    <w:rsid w:val="000449a5"/>
    <w:pPr>
      <w:tabs>
        <w:tab w:val="clear" w:pos="709"/>
        <w:tab w:val="center" w:pos="4677" w:leader="none"/>
        <w:tab w:val="right" w:pos="9355" w:leader="none"/>
      </w:tabs>
    </w:pPr>
    <w:rPr/>
  </w:style>
  <w:style w:type="paragraph" w:styleId="Style26" w:customStyle="1">
    <w:name w:val="Пункт договора"/>
    <w:basedOn w:val="Normal"/>
    <w:qFormat/>
    <w:rsid w:val="00e65842"/>
    <w:pPr>
      <w:jc w:val="both"/>
    </w:pPr>
    <w:rPr>
      <w:rFonts w:ascii="Arial" w:hAnsi="Arial"/>
    </w:rPr>
  </w:style>
  <w:style w:type="paragraph" w:styleId="1" w:customStyle="1">
    <w:name w:val="Знак Знак Знак Знак Знак Знак Знак Знак Знак1"/>
    <w:basedOn w:val="Normal"/>
    <w:qFormat/>
    <w:rsid w:val="007d41d8"/>
    <w:pPr>
      <w:widowControl/>
      <w:spacing w:lineRule="exact" w:line="240" w:before="0" w:after="160"/>
      <w:jc w:val="both"/>
    </w:pPr>
    <w:rPr>
      <w:rFonts w:ascii="Verdana" w:hAnsi="Verdana"/>
      <w:sz w:val="22"/>
      <w:lang w:val="en-US" w:eastAsia="en-US"/>
    </w:rPr>
  </w:style>
  <w:style w:type="paragraph" w:styleId="11" w:customStyle="1">
    <w:name w:val="Обычный1"/>
    <w:qFormat/>
    <w:rsid w:val="0073039c"/>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a510bb"/>
    <w:pPr>
      <w:widowControl w:val="false"/>
      <w:suppressAutoHyphens w:val="true"/>
      <w:bidi w:val="0"/>
      <w:spacing w:before="0" w:after="0"/>
      <w:jc w:val="left"/>
    </w:pPr>
    <w:rPr>
      <w:rFonts w:ascii="Calibri" w:hAnsi="Calibri" w:eastAsia="Times New Roman" w:cs="Calibri"/>
      <w:color w:val="auto"/>
      <w:kern w:val="0"/>
      <w:sz w:val="22"/>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rsid w:val="00084bd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header" Target="header3.xml"/><Relationship Id="rId9" Type="http://schemas.openxmlformats.org/officeDocument/2006/relationships/header" Target="header4.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Relationship Id="rId20"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B0BAB9-8B8F-4B85-B8DF-266ED50E1B2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DC28637-82A2-4882-B880-456EC7FD591C}">
  <ds:schemaRefs>
    <ds:schemaRef ds:uri="http://schemas.openxmlformats.org/officeDocument/2006/bibliography"/>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643</TotalTime>
  <Application>AlterOffice/3.4.0.9$Linux_X86_64 LibreOffice_project/b8daf9e823b1a5463a2f48435ddc2e8696e7d4fc</Application>
  <AppVersion>15.0000</AppVersion>
  <Pages>17</Pages>
  <Words>7268</Words>
  <Characters>52189</Characters>
  <CharactersWithSpaces>59940</CharactersWithSpaces>
  <Paragraphs>337</Paragraphs>
  <Company>Inter RAO UES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2024-04-03T13:12:00Z</dcterms:created>
  <dc:creator>tsypilev_ag</dc:creator>
  <dc:description/>
  <dc:language>ru-RU</dc:language>
  <cp:lastModifiedBy>shvalyukee@corp.gidroogk.com</cp:lastModifiedBy>
  <cp:lastPrinted>2018-05-22T09:46:00Z</cp:lastPrinted>
  <dcterms:modified xsi:type="dcterms:W3CDTF">2026-06-19T12:24:41Z</dcterms:modified>
  <cp:revision>58</cp:revision>
  <dc:subject/>
  <dc:title>Договор № _________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